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8" w:rsidRPr="00EF7AE8" w:rsidRDefault="00EF7AE8" w:rsidP="00EF7AE8">
      <w:pPr>
        <w:rPr>
          <w:b/>
          <w:bCs/>
          <w:sz w:val="24"/>
          <w:szCs w:val="24"/>
        </w:rPr>
      </w:pPr>
      <w:bookmarkStart w:id="0" w:name="_GoBack"/>
      <w:bookmarkEnd w:id="0"/>
      <w:r w:rsidRPr="00EF7AE8">
        <w:rPr>
          <w:b/>
          <w:bCs/>
          <w:sz w:val="24"/>
          <w:szCs w:val="24"/>
        </w:rPr>
        <w:t>Счета для формирования фондов капитального ремонта могут быть открыты только в пяти кредитных организациях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bCs/>
          <w:sz w:val="24"/>
          <w:szCs w:val="24"/>
        </w:rPr>
        <w:t>Центральный банк актуализировал перечень кредитных организаций для открытия счетов по формированию фондов капитального ремонта. 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Счета для формирования фондов капитального ремонта могут быть открыты только в пяти кредитных организациях: Банк ГПБ(АО), Банк ВТБ (ПАО), АО «АЛЬФА-БАНК», ПАО Сбербанк, АО «</w:t>
      </w:r>
      <w:proofErr w:type="spellStart"/>
      <w:r w:rsidRPr="00EF7AE8">
        <w:rPr>
          <w:sz w:val="24"/>
          <w:szCs w:val="24"/>
        </w:rPr>
        <w:t>Россельхозбанк</w:t>
      </w:r>
      <w:proofErr w:type="spellEnd"/>
      <w:r w:rsidRPr="00EF7AE8">
        <w:rPr>
          <w:sz w:val="24"/>
          <w:szCs w:val="24"/>
        </w:rPr>
        <w:t>».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Ранее Постановлением Правительства РФ № 497 от 24.04.2018 г. были ужесточены требования к банкам, в которых размещаются взносы на капитальный ремонт: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- размер капитала банка должен быть не менее 250 млрд рублей;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- банк должен обладать кредитным рейтингом не ниже уровня А+ (RU) по национальной рейтинговой шкале Аналитического кредитного рейтингового агентства и (или) кредитным рейтингом не ниже уровня "</w:t>
      </w:r>
      <w:proofErr w:type="spellStart"/>
      <w:r w:rsidRPr="00EF7AE8">
        <w:rPr>
          <w:sz w:val="24"/>
          <w:szCs w:val="24"/>
        </w:rPr>
        <w:t>ruА</w:t>
      </w:r>
      <w:proofErr w:type="spellEnd"/>
      <w:r w:rsidRPr="00EF7AE8">
        <w:rPr>
          <w:sz w:val="24"/>
          <w:szCs w:val="24"/>
        </w:rPr>
        <w:t>+" по национальной рейтинговой шкале для Российской Федерации кредитного рейтингового агентства "Эксперт РА";</w:t>
      </w:r>
    </w:p>
    <w:p w:rsid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Указанные требования применяются, как в отношении "общего котла", так и в отношении специальных счетов.</w:t>
      </w:r>
    </w:p>
    <w:p w:rsidR="008F5E76" w:rsidRPr="00EF7AE8" w:rsidRDefault="008F5E76" w:rsidP="008F5E76">
      <w:pPr>
        <w:rPr>
          <w:sz w:val="24"/>
          <w:szCs w:val="24"/>
        </w:rPr>
      </w:pPr>
      <w:r w:rsidRPr="00EF7AE8">
        <w:rPr>
          <w:sz w:val="24"/>
          <w:szCs w:val="24"/>
        </w:rPr>
        <w:t>Согласно части 2.1 статьи 176 Жилищного кодекса РФ владелец специального счета обязан осуществлять контроль за соответствием российской кредитной организации требованиям действующего законодательства и принимать необходимые меры, если кредитная организация, в которой открыт специальный счет, перестает соответствовать указанным требованиям.</w:t>
      </w:r>
    </w:p>
    <w:p w:rsidR="008F5E76" w:rsidRPr="00EF7AE8" w:rsidRDefault="008F5E76" w:rsidP="00EF7A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1EEE" w:rsidRDefault="003F1EEE"/>
    <w:sectPr w:rsidR="003F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9A"/>
    <w:multiLevelType w:val="multilevel"/>
    <w:tmpl w:val="8EB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3"/>
    <w:rsid w:val="00202AED"/>
    <w:rsid w:val="003F1EEE"/>
    <w:rsid w:val="00863893"/>
    <w:rsid w:val="008F5E76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PC-119</cp:lastModifiedBy>
  <cp:revision>2</cp:revision>
  <dcterms:created xsi:type="dcterms:W3CDTF">2018-09-14T01:26:00Z</dcterms:created>
  <dcterms:modified xsi:type="dcterms:W3CDTF">2018-09-14T01:26:00Z</dcterms:modified>
</cp:coreProperties>
</file>