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AB" w:rsidRPr="006E1F3D" w:rsidRDefault="007D39AB" w:rsidP="006E2EFA">
      <w:pPr>
        <w:pStyle w:val="Heading6"/>
        <w:ind w:firstLine="567"/>
        <w:jc w:val="center"/>
        <w:rPr>
          <w:sz w:val="28"/>
          <w:szCs w:val="28"/>
        </w:rPr>
      </w:pPr>
      <w:r w:rsidRPr="006E1F3D">
        <w:rPr>
          <w:sz w:val="28"/>
          <w:szCs w:val="28"/>
        </w:rPr>
        <w:t>Пояснительная записка</w:t>
      </w:r>
    </w:p>
    <w:p w:rsidR="007D39AB" w:rsidRPr="006E1F3D" w:rsidRDefault="007D39AB" w:rsidP="006E2EFA">
      <w:pPr>
        <w:jc w:val="center"/>
        <w:rPr>
          <w:rFonts w:ascii="Times New Roman" w:hAnsi="Times New Roman"/>
          <w:b/>
          <w:sz w:val="28"/>
          <w:szCs w:val="28"/>
        </w:rPr>
      </w:pPr>
      <w:r>
        <w:rPr>
          <w:rFonts w:ascii="Times New Roman" w:hAnsi="Times New Roman"/>
          <w:b/>
          <w:sz w:val="28"/>
          <w:szCs w:val="28"/>
        </w:rPr>
        <w:t>к</w:t>
      </w:r>
      <w:r w:rsidRPr="006E1F3D">
        <w:rPr>
          <w:rFonts w:ascii="Times New Roman" w:hAnsi="Times New Roman"/>
          <w:b/>
          <w:sz w:val="28"/>
          <w:szCs w:val="28"/>
        </w:rPr>
        <w:t xml:space="preserve"> Докладу Главы Большеулуйского района о достигнутых значениях показателей для оценки эффективности  деятельности органов местного самоуправления Большеулуйского района за 2015 год и их планируемых значениях на 3-летний период</w:t>
      </w:r>
    </w:p>
    <w:p w:rsidR="007D39AB" w:rsidRPr="006E1F3D" w:rsidRDefault="007D39AB" w:rsidP="006E1F3D">
      <w:pPr>
        <w:tabs>
          <w:tab w:val="left" w:pos="720"/>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В целях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постановления Правительства Российской Федерации от 17.12.2012 № 1317, подготовлен доклад о достигнутых значениях показателей для оценки эффективности деятельности муниципального района за 2015 год и их планируемых значениях на 3-летний период. </w:t>
      </w:r>
    </w:p>
    <w:p w:rsidR="007D39AB" w:rsidRPr="006E1F3D" w:rsidRDefault="007D39AB" w:rsidP="006E1F3D">
      <w:pPr>
        <w:tabs>
          <w:tab w:val="left" w:pos="567"/>
          <w:tab w:val="left" w:pos="720"/>
        </w:tabs>
        <w:autoSpaceDE w:val="0"/>
        <w:autoSpaceDN w:val="0"/>
        <w:adjustRightInd w:val="0"/>
        <w:spacing w:after="0" w:line="240" w:lineRule="auto"/>
        <w:ind w:firstLine="567"/>
        <w:jc w:val="both"/>
        <w:rPr>
          <w:rFonts w:ascii="Times New Roman" w:hAnsi="Times New Roman"/>
          <w:spacing w:val="-6"/>
          <w:sz w:val="28"/>
          <w:szCs w:val="28"/>
        </w:rPr>
      </w:pPr>
      <w:r w:rsidRPr="006E1F3D">
        <w:rPr>
          <w:rFonts w:ascii="Times New Roman" w:hAnsi="Times New Roman"/>
          <w:spacing w:val="-6"/>
          <w:sz w:val="28"/>
          <w:szCs w:val="28"/>
        </w:rPr>
        <w:t xml:space="preserve">Структура и показатели Доклада отражают </w:t>
      </w:r>
      <w:r w:rsidRPr="006E1F3D">
        <w:rPr>
          <w:rFonts w:ascii="Times New Roman" w:hAnsi="Times New Roman"/>
          <w:sz w:val="28"/>
          <w:szCs w:val="28"/>
        </w:rPr>
        <w:t>вопросы местного значения муниципального района и полномочия органов местного самоуправления по решению этих вопросов, регламентируемые Федеральным законом «Об общих принципах организации местного самоуправления в Российской Федерации».</w:t>
      </w:r>
    </w:p>
    <w:p w:rsidR="007D39AB" w:rsidRPr="006E1F3D" w:rsidRDefault="007D39AB" w:rsidP="006E1F3D">
      <w:pPr>
        <w:keepNext/>
        <w:autoSpaceDE w:val="0"/>
        <w:autoSpaceDN w:val="0"/>
        <w:adjustRightInd w:val="0"/>
        <w:spacing w:after="0" w:line="240" w:lineRule="auto"/>
        <w:ind w:firstLine="567"/>
        <w:jc w:val="both"/>
        <w:rPr>
          <w:rFonts w:ascii="Times New Roman" w:hAnsi="Times New Roman"/>
          <w:kern w:val="32"/>
          <w:sz w:val="28"/>
          <w:szCs w:val="28"/>
        </w:rPr>
      </w:pPr>
      <w:r w:rsidRPr="006E1F3D">
        <w:rPr>
          <w:rFonts w:ascii="Times New Roman" w:hAnsi="Times New Roman"/>
          <w:kern w:val="32"/>
          <w:sz w:val="28"/>
          <w:szCs w:val="28"/>
        </w:rPr>
        <w:t>Большеулуйский район образован 4 апреля 1924 года, районный центр – село Большой Улуй.</w:t>
      </w:r>
    </w:p>
    <w:p w:rsidR="007D39AB" w:rsidRPr="006E1F3D" w:rsidRDefault="007D39AB" w:rsidP="006E1F3D">
      <w:pPr>
        <w:tabs>
          <w:tab w:val="left" w:pos="540"/>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Территория района занимает площадь в 270,77 тыс. га.</w:t>
      </w:r>
    </w:p>
    <w:p w:rsidR="007D39AB" w:rsidRPr="006E1F3D" w:rsidRDefault="007D39AB" w:rsidP="006E1F3D">
      <w:pPr>
        <w:tabs>
          <w:tab w:val="left" w:pos="540"/>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В состав территории входит 36 населенных пунктов. Населенные пункты объединены в 9 сельсоветов.</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Численность населения муниципального образования на 1 января 2016 года составила 7728 человек.</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172C99">
      <w:pPr>
        <w:widowControl w:val="0"/>
        <w:autoSpaceDE w:val="0"/>
        <w:autoSpaceDN w:val="0"/>
        <w:adjustRightInd w:val="0"/>
        <w:spacing w:after="0" w:line="240" w:lineRule="auto"/>
        <w:ind w:firstLine="567"/>
        <w:rPr>
          <w:rFonts w:ascii="Times New Roman" w:hAnsi="Times New Roman"/>
          <w:b/>
          <w:bCs/>
          <w:color w:val="000000"/>
          <w:sz w:val="28"/>
          <w:szCs w:val="28"/>
        </w:rPr>
      </w:pPr>
      <w:r>
        <w:rPr>
          <w:rFonts w:ascii="Times New Roman" w:hAnsi="Times New Roman"/>
          <w:sz w:val="28"/>
          <w:szCs w:val="28"/>
        </w:rPr>
        <w:t xml:space="preserve">                            </w:t>
      </w:r>
      <w:r w:rsidRPr="006E1F3D">
        <w:rPr>
          <w:rFonts w:ascii="Times New Roman" w:hAnsi="Times New Roman"/>
          <w:sz w:val="28"/>
          <w:szCs w:val="28"/>
        </w:rPr>
        <w:t xml:space="preserve"> </w:t>
      </w:r>
      <w:smartTag w:uri="urn:schemas-microsoft-com:office:smarttags" w:element="place">
        <w:r w:rsidRPr="006E1F3D">
          <w:rPr>
            <w:rFonts w:ascii="Times New Roman" w:hAnsi="Times New Roman"/>
            <w:b/>
            <w:bCs/>
            <w:color w:val="000000"/>
            <w:sz w:val="28"/>
            <w:szCs w:val="28"/>
            <w:lang w:val="en-US"/>
          </w:rPr>
          <w:t>I</w:t>
        </w:r>
        <w:r w:rsidRPr="006E1F3D">
          <w:rPr>
            <w:rFonts w:ascii="Times New Roman" w:hAnsi="Times New Roman"/>
            <w:b/>
            <w:bCs/>
            <w:color w:val="000000"/>
            <w:sz w:val="28"/>
            <w:szCs w:val="28"/>
          </w:rPr>
          <w:t>.</w:t>
        </w:r>
      </w:smartTag>
      <w:r w:rsidRPr="006E1F3D">
        <w:rPr>
          <w:rFonts w:ascii="Times New Roman" w:hAnsi="Times New Roman"/>
          <w:b/>
          <w:bCs/>
          <w:color w:val="000000"/>
          <w:sz w:val="28"/>
          <w:szCs w:val="28"/>
        </w:rPr>
        <w:t xml:space="preserve"> Экономическое развитие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1. Число субъектов малого и среднего предпринимательства</w:t>
      </w:r>
    </w:p>
    <w:p w:rsidR="007D39AB" w:rsidRPr="006E1F3D" w:rsidRDefault="007D39AB" w:rsidP="006E1F3D">
      <w:pPr>
        <w:tabs>
          <w:tab w:val="left" w:pos="720"/>
        </w:tabs>
        <w:autoSpaceDE w:val="0"/>
        <w:autoSpaceDN w:val="0"/>
        <w:adjustRightInd w:val="0"/>
        <w:spacing w:line="240" w:lineRule="auto"/>
        <w:ind w:firstLine="567"/>
        <w:jc w:val="both"/>
        <w:rPr>
          <w:rFonts w:ascii="Times New Roman" w:hAnsi="Times New Roman"/>
          <w:sz w:val="28"/>
          <w:szCs w:val="28"/>
        </w:rPr>
      </w:pPr>
      <w:r w:rsidRPr="006E1F3D">
        <w:rPr>
          <w:rFonts w:ascii="Times New Roman" w:hAnsi="Times New Roman"/>
          <w:sz w:val="28"/>
          <w:szCs w:val="28"/>
        </w:rPr>
        <w:t xml:space="preserve">На 01.01.2016г. в районе зарегистрировано 174 субъекта малого и среднего бизнеса, из них: 1 среднее предприятие, 36 малых предприятий, 137 индивидуальных предпринимателей. </w:t>
      </w:r>
    </w:p>
    <w:p w:rsidR="007D39AB" w:rsidRPr="006E1F3D" w:rsidRDefault="007D39AB" w:rsidP="006E1F3D">
      <w:pPr>
        <w:tabs>
          <w:tab w:val="left" w:pos="720"/>
        </w:tabs>
        <w:autoSpaceDE w:val="0"/>
        <w:autoSpaceDN w:val="0"/>
        <w:adjustRightInd w:val="0"/>
        <w:spacing w:line="240" w:lineRule="auto"/>
        <w:ind w:firstLine="567"/>
        <w:jc w:val="both"/>
        <w:rPr>
          <w:rFonts w:ascii="Times New Roman" w:hAnsi="Times New Roman"/>
          <w:color w:val="000000"/>
          <w:sz w:val="28"/>
          <w:szCs w:val="28"/>
        </w:rPr>
      </w:pPr>
      <w:r w:rsidRPr="006E1F3D">
        <w:rPr>
          <w:rFonts w:ascii="Times New Roman" w:hAnsi="Times New Roman"/>
          <w:color w:val="000000"/>
          <w:sz w:val="28"/>
          <w:szCs w:val="28"/>
        </w:rPr>
        <w:t xml:space="preserve">В 2015 году по сравнению с 2014 годом произошло увеличение числа субъектов малого и среднего предпринимательства на 5,17 % (с 213,09 до 224,11 единиц на 10 тыс. человек населения), за счет увеличения числа индивидуальных предпринимателей на 7 человек.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Преобладающим видами экономической деятельности в Большеулуйском районе является «Оптовая и розничная торговля; ремонт автотранспортных средств, мотоциклов, бытовых изделий и предметов личного пользования» - 40,23% (70 субъектов) и «Сельское хозяйство, охота и лесное хозяйство», которым занимается   29,31% (51 субъект), 9,77% (17 субъектов) заняты в  «Строительстве». 7,47% (13 субъектов)  занимаются видом деятельности «Транспорт и связь», 4,6 % (08 субъектов) «Обрабатывающие производства», 5,2% (4 субъекта) занимаются «Предоставление прочих коммунальных услуг», 3,45% (6 субъектов) – «Операции с недвижимым имуществом, аренда и предоставление услуг», 2,87% занимаются прочими видами деятельности (негосударственное образовательное учреждение, здравоохранение и деятельность детских лагерей).</w:t>
      </w:r>
    </w:p>
    <w:p w:rsidR="007D39AB" w:rsidRPr="006E1F3D" w:rsidRDefault="007D39AB" w:rsidP="006E1F3D">
      <w:pPr>
        <w:tabs>
          <w:tab w:val="left" w:pos="720"/>
        </w:tabs>
        <w:autoSpaceDE w:val="0"/>
        <w:autoSpaceDN w:val="0"/>
        <w:adjustRightInd w:val="0"/>
        <w:ind w:firstLine="567"/>
        <w:jc w:val="both"/>
        <w:rPr>
          <w:rFonts w:ascii="Times New Roman" w:hAnsi="Times New Roman"/>
          <w:sz w:val="28"/>
          <w:szCs w:val="28"/>
        </w:rPr>
      </w:pPr>
      <w:r w:rsidRPr="006E1F3D">
        <w:rPr>
          <w:rFonts w:ascii="Times New Roman" w:hAnsi="Times New Roman"/>
          <w:sz w:val="28"/>
          <w:szCs w:val="28"/>
        </w:rPr>
        <w:t xml:space="preserve">Оборот организаций малого бизнеса в 2015 году по сравнению с 2014 годом уменьшился на 37,8% и составил 264 229,53 тыс. руб. (в основном за счет  снижения оборота организаций, занятых в строительстве). </w:t>
      </w:r>
    </w:p>
    <w:p w:rsidR="007D39AB" w:rsidRPr="006E1F3D" w:rsidRDefault="007D39AB" w:rsidP="006E1F3D">
      <w:pPr>
        <w:tabs>
          <w:tab w:val="left" w:pos="426"/>
          <w:tab w:val="left" w:pos="720"/>
        </w:tabs>
        <w:autoSpaceDE w:val="0"/>
        <w:autoSpaceDN w:val="0"/>
        <w:adjustRightInd w:val="0"/>
        <w:ind w:firstLine="567"/>
        <w:jc w:val="both"/>
        <w:rPr>
          <w:rFonts w:ascii="Times New Roman" w:hAnsi="Times New Roman"/>
          <w:b/>
          <w:bCs/>
          <w:sz w:val="28"/>
          <w:szCs w:val="28"/>
        </w:rPr>
      </w:pPr>
      <w:r w:rsidRPr="006E1F3D">
        <w:rPr>
          <w:rFonts w:ascii="Times New Roman" w:hAnsi="Times New Roman"/>
          <w:sz w:val="28"/>
          <w:szCs w:val="28"/>
        </w:rPr>
        <w:t xml:space="preserve">Малые строительные организации, в основном, занимаются ремонтно-строительными работами на Ачинском НПЗ, в 2014 году велись восстановительные работы  после аварии на  заводе, что способствовало увеличению оборота, в 2015 году объемы работ снижены, вследствие чего   1 строительное предприятие находится на стадии банкротства и приостановило свою деятельность, другим приходится искать объемы работ в других районах края.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В районе хорошо развита торговая деятельность, которой, в основном,  занимаются субъекты малого предпринимательства. Обеспеченность населения района торговыми площадями составляет </w:t>
      </w:r>
      <w:smartTag w:uri="urn:schemas-microsoft-com:office:smarttags" w:element="metricconverter">
        <w:smartTagPr>
          <w:attr w:name="ProductID" w:val="379,2 кв. метров"/>
        </w:smartTagPr>
        <w:r w:rsidRPr="006E1F3D">
          <w:rPr>
            <w:rFonts w:ascii="Times New Roman" w:hAnsi="Times New Roman"/>
            <w:sz w:val="28"/>
            <w:szCs w:val="28"/>
          </w:rPr>
          <w:t>379,2 кв. метров</w:t>
        </w:r>
      </w:smartTag>
      <w:r w:rsidRPr="006E1F3D">
        <w:rPr>
          <w:rFonts w:ascii="Times New Roman" w:hAnsi="Times New Roman"/>
          <w:sz w:val="28"/>
          <w:szCs w:val="28"/>
        </w:rPr>
        <w:t xml:space="preserve"> на 1 тыс. чел., что превышает на 29,86 %  норматив минимальной обеспеченности (в 2014 году обеспеченность населения района торговыми площадями составляла </w:t>
      </w:r>
      <w:smartTag w:uri="urn:schemas-microsoft-com:office:smarttags" w:element="metricconverter">
        <w:smartTagPr>
          <w:attr w:name="ProductID" w:val="332,5 кв. метров"/>
        </w:smartTagPr>
        <w:r w:rsidRPr="006E1F3D">
          <w:rPr>
            <w:rFonts w:ascii="Times New Roman" w:hAnsi="Times New Roman"/>
            <w:sz w:val="28"/>
            <w:szCs w:val="28"/>
          </w:rPr>
          <w:t>332,5 кв. метров</w:t>
        </w:r>
      </w:smartTag>
      <w:r w:rsidRPr="006E1F3D">
        <w:rPr>
          <w:rFonts w:ascii="Times New Roman" w:hAnsi="Times New Roman"/>
          <w:sz w:val="28"/>
          <w:szCs w:val="28"/>
        </w:rPr>
        <w:t xml:space="preserve"> на 1 тыс. чел., что превышало норматив минимальной обеспеченности на 13,9 %).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Объем инвестиций в основной капитал организаций малого бизнеса за 2015 год составил 5823,67 тыс. рублей.</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D39AB" w:rsidRPr="006E1F3D" w:rsidRDefault="007D39AB" w:rsidP="006E1F3D">
      <w:pPr>
        <w:tabs>
          <w:tab w:val="left" w:pos="567"/>
          <w:tab w:val="left" w:pos="720"/>
        </w:tabs>
        <w:autoSpaceDE w:val="0"/>
        <w:autoSpaceDN w:val="0"/>
        <w:adjustRightInd w:val="0"/>
        <w:spacing w:after="0" w:line="240" w:lineRule="auto"/>
        <w:ind w:firstLine="567"/>
        <w:jc w:val="both"/>
        <w:rPr>
          <w:rFonts w:ascii="Times New Roman" w:hAnsi="Times New Roman"/>
          <w:color w:val="000000"/>
          <w:sz w:val="28"/>
          <w:szCs w:val="28"/>
        </w:rPr>
      </w:pPr>
      <w:r w:rsidRPr="006E1F3D">
        <w:rPr>
          <w:rFonts w:ascii="Times New Roman" w:hAnsi="Times New Roman"/>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2015 году  составила  14,38 % (в 2014 году - 14,33%).</w:t>
      </w:r>
    </w:p>
    <w:p w:rsidR="007D39AB" w:rsidRPr="006E1F3D" w:rsidRDefault="007D39AB" w:rsidP="006E1F3D">
      <w:pPr>
        <w:tabs>
          <w:tab w:val="left" w:pos="567"/>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Среднесписочная численность работников малых предприятий в 2015 году составила 364 человека,  увеличение   на 0,3 % к уровню 2014 года. </w:t>
      </w:r>
    </w:p>
    <w:p w:rsidR="007D39AB" w:rsidRPr="006E1F3D" w:rsidRDefault="007D39AB" w:rsidP="006E1F3D">
      <w:pPr>
        <w:tabs>
          <w:tab w:val="left" w:pos="567"/>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Среднесписочная численность занятых по найму у индивидуальных предпринимателей за 2015 год – 300 человек.</w:t>
      </w:r>
    </w:p>
    <w:p w:rsidR="007D39AB" w:rsidRPr="006E1F3D" w:rsidRDefault="007D39AB" w:rsidP="006E1F3D">
      <w:pPr>
        <w:tabs>
          <w:tab w:val="left" w:pos="567"/>
          <w:tab w:val="left" w:pos="720"/>
        </w:tabs>
        <w:autoSpaceDE w:val="0"/>
        <w:autoSpaceDN w:val="0"/>
        <w:adjustRightInd w:val="0"/>
        <w:spacing w:after="0" w:line="240" w:lineRule="auto"/>
        <w:ind w:firstLine="567"/>
        <w:jc w:val="both"/>
        <w:rPr>
          <w:rFonts w:ascii="Times New Roman" w:hAnsi="Times New Roman"/>
          <w:color w:val="000000"/>
          <w:sz w:val="28"/>
          <w:szCs w:val="28"/>
        </w:rPr>
      </w:pPr>
      <w:r w:rsidRPr="006E1F3D">
        <w:rPr>
          <w:rFonts w:ascii="Times New Roman" w:hAnsi="Times New Roman"/>
          <w:color w:val="000000"/>
          <w:sz w:val="28"/>
          <w:szCs w:val="28"/>
        </w:rPr>
        <w:t>Среднесписочная численность работников на среднем предприятии снизилась на  13 человек и составила 160 человек.</w:t>
      </w:r>
    </w:p>
    <w:p w:rsidR="007D39AB" w:rsidRPr="006E1F3D" w:rsidRDefault="007D39AB" w:rsidP="006E1F3D">
      <w:pPr>
        <w:tabs>
          <w:tab w:val="left" w:pos="720"/>
        </w:tabs>
        <w:autoSpaceDE w:val="0"/>
        <w:autoSpaceDN w:val="0"/>
        <w:adjustRightInd w:val="0"/>
        <w:spacing w:line="240" w:lineRule="auto"/>
        <w:ind w:firstLine="567"/>
        <w:jc w:val="both"/>
        <w:rPr>
          <w:rFonts w:ascii="Times New Roman" w:hAnsi="Times New Roman"/>
          <w:sz w:val="28"/>
          <w:szCs w:val="28"/>
        </w:rPr>
      </w:pPr>
      <w:r w:rsidRPr="006E1F3D">
        <w:rPr>
          <w:rFonts w:ascii="Times New Roman" w:hAnsi="Times New Roman"/>
          <w:sz w:val="28"/>
          <w:szCs w:val="28"/>
        </w:rPr>
        <w:t>С целью активизации предпринимательской деятельности  в районе действует  муниципальная программа "Развитие субъектов малого и среднего предпринимательства в Большеулуйском районе".</w:t>
      </w:r>
    </w:p>
    <w:p w:rsidR="007D39AB" w:rsidRPr="006E1F3D" w:rsidRDefault="007D39AB" w:rsidP="006E1F3D">
      <w:pPr>
        <w:tabs>
          <w:tab w:val="left" w:pos="720"/>
        </w:tabs>
        <w:autoSpaceDE w:val="0"/>
        <w:autoSpaceDN w:val="0"/>
        <w:adjustRightInd w:val="0"/>
        <w:spacing w:line="240" w:lineRule="auto"/>
        <w:ind w:firstLine="567"/>
        <w:jc w:val="both"/>
        <w:rPr>
          <w:rFonts w:ascii="Times New Roman" w:hAnsi="Times New Roman"/>
          <w:sz w:val="28"/>
          <w:szCs w:val="28"/>
        </w:rPr>
      </w:pPr>
      <w:r w:rsidRPr="006E1F3D">
        <w:rPr>
          <w:rFonts w:ascii="Times New Roman" w:hAnsi="Times New Roman"/>
          <w:sz w:val="28"/>
          <w:szCs w:val="28"/>
        </w:rPr>
        <w:t>Для привлечения федеральных и краевых  средств на поддержку малого и среднего бизнеса, Администрация района участвует в краевых конкурсах муниципальных программ развития субъектов малого и среднего предпринимательства. В 2014 году расходы по муниципальной программе «Развитие субъектов малого и среднего предпринимательства в Большеулуйском районе» составили 10 120 766,89 рублей. В 2015 году на реализацию программы было выделено 1 877 230 рублей.</w:t>
      </w:r>
    </w:p>
    <w:p w:rsidR="007D39AB" w:rsidRPr="006E1F3D" w:rsidRDefault="007D39AB" w:rsidP="006E1F3D">
      <w:pPr>
        <w:tabs>
          <w:tab w:val="left" w:pos="720"/>
        </w:tabs>
        <w:autoSpaceDE w:val="0"/>
        <w:autoSpaceDN w:val="0"/>
        <w:adjustRightInd w:val="0"/>
        <w:spacing w:line="240" w:lineRule="auto"/>
        <w:ind w:firstLine="567"/>
        <w:jc w:val="both"/>
        <w:rPr>
          <w:rFonts w:ascii="Times New Roman" w:hAnsi="Times New Roman"/>
          <w:sz w:val="28"/>
          <w:szCs w:val="28"/>
        </w:rPr>
      </w:pPr>
      <w:r w:rsidRPr="006E1F3D">
        <w:rPr>
          <w:rFonts w:ascii="Times New Roman" w:hAnsi="Times New Roman"/>
          <w:sz w:val="28"/>
          <w:szCs w:val="28"/>
        </w:rPr>
        <w:t>За счет привлеченных средств из краевого и федерального бюджетов в 2015 году стало возможным оказать финансовую поддержку 5 субъектам малого и среднего предпринимательства</w:t>
      </w:r>
      <w:r w:rsidRPr="006E1F3D">
        <w:rPr>
          <w:rFonts w:ascii="Times New Roman" w:hAnsi="Times New Roman"/>
          <w:b/>
          <w:bCs/>
          <w:sz w:val="28"/>
          <w:szCs w:val="28"/>
        </w:rPr>
        <w:t xml:space="preserve"> </w:t>
      </w:r>
      <w:r w:rsidRPr="006E1F3D">
        <w:rPr>
          <w:rFonts w:ascii="Times New Roman" w:hAnsi="Times New Roman"/>
          <w:sz w:val="28"/>
          <w:szCs w:val="28"/>
        </w:rPr>
        <w:t>- 1 юридическому лицу и 4 индивидуальным предпринимателям.</w:t>
      </w:r>
    </w:p>
    <w:p w:rsidR="007D39AB" w:rsidRPr="006E1F3D" w:rsidRDefault="007D39AB" w:rsidP="006E1F3D">
      <w:pPr>
        <w:tabs>
          <w:tab w:val="left" w:pos="720"/>
        </w:tabs>
        <w:autoSpaceDE w:val="0"/>
        <w:autoSpaceDN w:val="0"/>
        <w:adjustRightInd w:val="0"/>
        <w:spacing w:line="240" w:lineRule="auto"/>
        <w:ind w:firstLine="567"/>
        <w:jc w:val="both"/>
        <w:rPr>
          <w:rFonts w:ascii="Times New Roman" w:hAnsi="Times New Roman"/>
          <w:sz w:val="28"/>
          <w:szCs w:val="28"/>
        </w:rPr>
      </w:pPr>
      <w:r w:rsidRPr="006E1F3D">
        <w:rPr>
          <w:rFonts w:ascii="Times New Roman" w:hAnsi="Times New Roman"/>
          <w:sz w:val="28"/>
          <w:szCs w:val="28"/>
        </w:rPr>
        <w:t>Субъектами малого предпринимательства, принявшими участие в мероприятиях по предоставлению поддержки в форме субсидии  в 2015 году, привлечено 3955,0 тыс. руб.  инвестиций,  создано 6  новых рабочих мест,  сохранено  15   рабочих мест.</w:t>
      </w:r>
    </w:p>
    <w:p w:rsidR="007D39AB" w:rsidRPr="006E1F3D" w:rsidRDefault="007D39AB" w:rsidP="006E1F3D">
      <w:pPr>
        <w:tabs>
          <w:tab w:val="left" w:pos="720"/>
        </w:tabs>
        <w:autoSpaceDE w:val="0"/>
        <w:autoSpaceDN w:val="0"/>
        <w:adjustRightInd w:val="0"/>
        <w:spacing w:line="240" w:lineRule="auto"/>
        <w:ind w:firstLine="567"/>
        <w:jc w:val="both"/>
        <w:rPr>
          <w:rFonts w:ascii="Times New Roman" w:hAnsi="Times New Roman"/>
          <w:sz w:val="28"/>
          <w:szCs w:val="28"/>
        </w:rPr>
      </w:pPr>
      <w:r w:rsidRPr="006E1F3D">
        <w:rPr>
          <w:rFonts w:ascii="Times New Roman" w:hAnsi="Times New Roman"/>
          <w:sz w:val="28"/>
          <w:szCs w:val="28"/>
        </w:rPr>
        <w:tab/>
        <w:t>В 2015 году информационно-консультационные услуги оказаны 41 субъекту малого предпринимательства. Информирование предпринимателей района о действующих мерах поддержки и условиях ее предоставления проводится через средства массовой информации, в личных беседах, на семинарах,  раздается информационный материал (плакаты, буклеты, брошюры), оформлен информационный стенд «Поддержка предпринимательства.</w:t>
      </w:r>
      <w:r w:rsidRPr="006E1F3D">
        <w:rPr>
          <w:rFonts w:ascii="Times New Roman" w:hAnsi="Times New Roman"/>
          <w:color w:val="000000"/>
          <w:sz w:val="28"/>
          <w:szCs w:val="28"/>
        </w:rPr>
        <w:t xml:space="preserve"> На официальном сайте муниципального образования Большеулуйского района создан раздел «Поддержка малого и среднего бизнеса». Сотрудничаем в данном вопросе со специалистами Центра занятости населения.          </w:t>
      </w:r>
    </w:p>
    <w:p w:rsidR="007D39AB" w:rsidRPr="006E1F3D" w:rsidRDefault="007D39AB" w:rsidP="006E1F3D">
      <w:pPr>
        <w:autoSpaceDE w:val="0"/>
        <w:autoSpaceDN w:val="0"/>
        <w:adjustRightInd w:val="0"/>
        <w:ind w:firstLine="567"/>
        <w:jc w:val="both"/>
        <w:rPr>
          <w:rFonts w:ascii="Times New Roman" w:hAnsi="Times New Roman"/>
          <w:sz w:val="28"/>
          <w:szCs w:val="28"/>
        </w:rPr>
      </w:pPr>
      <w:r w:rsidRPr="006E1F3D">
        <w:rPr>
          <w:rFonts w:ascii="Times New Roman" w:hAnsi="Times New Roman"/>
          <w:sz w:val="28"/>
          <w:szCs w:val="28"/>
        </w:rPr>
        <w:t>Уровень безработицы в Большеулуйском районе за 2015 составил 5.3%.  С целью самозанятости безработных граждан и развитию предпринимательства в районе выделяется финансовая поддержка в размере 77,24 тыс. рублей  на организацию собственного дела. В 2015 году  открыли собственное дело 5 безработных. Общая сумма поддержки в 2015 году составила   386,2 тыс. рублей.</w:t>
      </w:r>
    </w:p>
    <w:p w:rsidR="007D39AB" w:rsidRPr="006E1F3D" w:rsidRDefault="007D39AB" w:rsidP="00EF309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6E1F3D">
        <w:rPr>
          <w:rFonts w:ascii="Times New Roman" w:hAnsi="Times New Roman"/>
          <w:sz w:val="28"/>
          <w:szCs w:val="28"/>
        </w:rPr>
        <w:t>При Администрации Большеулуйского района создана Комиссия по борьбе с неформальной занятостью, которая побуждает субъекты малого и среднего предпринимательства официально регистрировать наемных работников.</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3. Объем инвестиций в основной капитал (за исключением бюджетных средств) в расчете на 1 человека</w:t>
      </w:r>
    </w:p>
    <w:p w:rsidR="007D39AB" w:rsidRPr="006E1F3D" w:rsidRDefault="007D39AB" w:rsidP="00EF3095">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w:t>
      </w:r>
      <w:r>
        <w:rPr>
          <w:rFonts w:ascii="Times New Roman" w:hAnsi="Times New Roman"/>
          <w:sz w:val="28"/>
          <w:szCs w:val="28"/>
        </w:rPr>
        <w:t xml:space="preserve">  </w:t>
      </w:r>
      <w:r w:rsidRPr="006E1F3D">
        <w:rPr>
          <w:rFonts w:ascii="Times New Roman" w:hAnsi="Times New Roman"/>
          <w:sz w:val="28"/>
          <w:szCs w:val="28"/>
        </w:rPr>
        <w:t xml:space="preserve"> В 2015 году  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составили  7845351,0 тыс. руб. (темп роста к 2014 году в сопоставимых ценах - 51,35 %).  Снижение объемов инвестиций происходит на крупном нефтеперерабатывающем предприятии ОАО «АНПЗ ВНК», который занимает наибольший удельный вес   от общего  объема инвестиций</w:t>
      </w:r>
      <w:r w:rsidRPr="006E1F3D">
        <w:rPr>
          <w:rFonts w:ascii="Times New Roman" w:hAnsi="Times New Roman"/>
          <w:b/>
          <w:bCs/>
          <w:sz w:val="28"/>
          <w:szCs w:val="28"/>
        </w:rPr>
        <w:t xml:space="preserve">.    </w:t>
      </w:r>
      <w:r w:rsidRPr="006E1F3D">
        <w:rPr>
          <w:rFonts w:ascii="Times New Roman" w:hAnsi="Times New Roman"/>
          <w:sz w:val="28"/>
          <w:szCs w:val="28"/>
        </w:rPr>
        <w:t>Большой объем инвестиций</w:t>
      </w:r>
      <w:r w:rsidRPr="006E1F3D">
        <w:rPr>
          <w:rFonts w:ascii="Times New Roman" w:hAnsi="Times New Roman"/>
          <w:b/>
          <w:bCs/>
          <w:color w:val="FF0000"/>
          <w:sz w:val="28"/>
          <w:szCs w:val="28"/>
        </w:rPr>
        <w:t xml:space="preserve">  </w:t>
      </w:r>
      <w:r w:rsidRPr="006E1F3D">
        <w:rPr>
          <w:rFonts w:ascii="Times New Roman" w:hAnsi="Times New Roman"/>
          <w:sz w:val="28"/>
          <w:szCs w:val="28"/>
        </w:rPr>
        <w:t>в 2014 году  произошел за счет  восстановительных работ   после аварии на заводе.</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Объем инвестиций в основной капитал за счет бюджетных средств  </w:t>
      </w:r>
      <w:r w:rsidRPr="006E1F3D">
        <w:rPr>
          <w:rFonts w:ascii="Times New Roman" w:hAnsi="Times New Roman"/>
          <w:b/>
          <w:bCs/>
          <w:color w:val="FF0000"/>
          <w:sz w:val="28"/>
          <w:szCs w:val="28"/>
        </w:rPr>
        <w:t xml:space="preserve"> </w:t>
      </w:r>
      <w:r w:rsidRPr="006E1F3D">
        <w:rPr>
          <w:rFonts w:ascii="Times New Roman" w:hAnsi="Times New Roman"/>
          <w:sz w:val="28"/>
          <w:szCs w:val="28"/>
        </w:rPr>
        <w:t>в 2015 году составил 50913,0 тыс. руб. (222,9 % к 2014 году), увеличение объема инвестиций произошло за счет строительства Детского сада в с. Большой Улуй. Оценка 2016 года – 48113,79 тыс. руб.(94,5 % к 2015 году) – инвестиции в основном будут направлены на  завершение строительства Детского сада.</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FF0000"/>
          <w:sz w:val="28"/>
          <w:szCs w:val="28"/>
        </w:rPr>
      </w:pPr>
      <w:r w:rsidRPr="006E1F3D">
        <w:rPr>
          <w:rFonts w:ascii="Times New Roman" w:hAnsi="Times New Roman"/>
          <w:sz w:val="28"/>
          <w:szCs w:val="28"/>
        </w:rPr>
        <w:t xml:space="preserve">Объем инвестиций в основной капитал (за исключением бюджетных средств) в расчете на 1 жителя в 2015 году составил  1003920,4 руб. (темп роста в сопоставимых ценах  51,38 %), по оценке 2016 года  3286124 руб. (310,56 %), по прогнозу </w:t>
      </w:r>
      <w:smartTag w:uri="urn:schemas-microsoft-com:office:smarttags" w:element="metricconverter">
        <w:smartTagPr>
          <w:attr w:name="ProductID" w:val="2017 г"/>
        </w:smartTagPr>
        <w:r w:rsidRPr="006E1F3D">
          <w:rPr>
            <w:rFonts w:ascii="Times New Roman" w:hAnsi="Times New Roman"/>
            <w:sz w:val="28"/>
            <w:szCs w:val="28"/>
          </w:rPr>
          <w:t>2017 г</w:t>
        </w:r>
      </w:smartTag>
      <w:r w:rsidRPr="006E1F3D">
        <w:rPr>
          <w:rFonts w:ascii="Times New Roman" w:hAnsi="Times New Roman"/>
          <w:sz w:val="28"/>
          <w:szCs w:val="28"/>
        </w:rPr>
        <w:t xml:space="preserve">. планируется 2045857.98 руб. (59,52 %), в 2018 г. – 96676.25 руб. (4,55 %).  Оценка 2016 года и прогнозные показатели на 2017-2018 годы рассчитаны исходя из данных прогнозного объема инвестиций,  предусмотренного в 2015 году, оценка 2016 года   скорректирована на увеличение бюджетных инвестиций на строительство Детского сада.  </w:t>
      </w:r>
      <w:r w:rsidRPr="006E1F3D">
        <w:rPr>
          <w:rFonts w:ascii="Times New Roman" w:hAnsi="Times New Roman"/>
          <w:color w:val="FF0000"/>
          <w:sz w:val="28"/>
          <w:szCs w:val="28"/>
        </w:rPr>
        <w:t xml:space="preserve"> </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FF0000"/>
          <w:sz w:val="28"/>
          <w:szCs w:val="28"/>
        </w:rPr>
      </w:pPr>
    </w:p>
    <w:tbl>
      <w:tblPr>
        <w:tblW w:w="10085" w:type="dxa"/>
        <w:tblBorders>
          <w:top w:val="single" w:sz="4" w:space="0" w:color="auto"/>
          <w:left w:val="single" w:sz="4" w:space="0" w:color="auto"/>
          <w:bottom w:val="single" w:sz="4" w:space="0" w:color="auto"/>
          <w:right w:val="single" w:sz="4" w:space="0" w:color="auto"/>
        </w:tblBorders>
        <w:tblLayout w:type="fixed"/>
        <w:tblLook w:val="0000"/>
      </w:tblPr>
      <w:tblGrid>
        <w:gridCol w:w="2943"/>
        <w:gridCol w:w="1560"/>
        <w:gridCol w:w="1842"/>
        <w:gridCol w:w="1799"/>
        <w:gridCol w:w="1941"/>
      </w:tblGrid>
      <w:tr w:rsidR="007D39AB" w:rsidRPr="00EC7A54" w:rsidTr="006E1F3D">
        <w:tc>
          <w:tcPr>
            <w:tcW w:w="2943"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firstLine="567"/>
              <w:rPr>
                <w:rFonts w:ascii="Times New Roman" w:hAnsi="Times New Roman"/>
                <w:sz w:val="28"/>
                <w:szCs w:val="28"/>
              </w:rPr>
            </w:pPr>
            <w:r w:rsidRPr="00EC7A54">
              <w:rPr>
                <w:rFonts w:ascii="Times New Roman" w:hAnsi="Times New Roman"/>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Pr>
          <w:p w:rsidR="007D39AB" w:rsidRPr="00EC7A54" w:rsidRDefault="007D39AB" w:rsidP="00485474">
            <w:pPr>
              <w:autoSpaceDE w:val="0"/>
              <w:autoSpaceDN w:val="0"/>
              <w:adjustRightInd w:val="0"/>
              <w:spacing w:after="0" w:line="240" w:lineRule="auto"/>
              <w:ind w:firstLine="34"/>
              <w:jc w:val="center"/>
              <w:rPr>
                <w:rFonts w:ascii="Times New Roman" w:hAnsi="Times New Roman"/>
                <w:sz w:val="28"/>
                <w:szCs w:val="28"/>
              </w:rPr>
            </w:pPr>
            <w:r w:rsidRPr="00EC7A54">
              <w:rPr>
                <w:rFonts w:ascii="Times New Roman" w:hAnsi="Times New Roman"/>
                <w:sz w:val="28"/>
                <w:szCs w:val="28"/>
              </w:rPr>
              <w:t>2015</w:t>
            </w:r>
          </w:p>
          <w:p w:rsidR="007D39AB" w:rsidRPr="00EC7A54" w:rsidRDefault="007D39AB" w:rsidP="00485474">
            <w:pPr>
              <w:autoSpaceDE w:val="0"/>
              <w:autoSpaceDN w:val="0"/>
              <w:adjustRightInd w:val="0"/>
              <w:spacing w:after="0" w:line="240" w:lineRule="auto"/>
              <w:ind w:firstLine="34"/>
              <w:jc w:val="center"/>
              <w:rPr>
                <w:rFonts w:ascii="Times New Roman" w:hAnsi="Times New Roman"/>
                <w:sz w:val="28"/>
                <w:szCs w:val="28"/>
              </w:rPr>
            </w:pPr>
            <w:r w:rsidRPr="00EC7A54">
              <w:rPr>
                <w:rFonts w:ascii="Times New Roman" w:hAnsi="Times New Roman"/>
                <w:sz w:val="28"/>
                <w:szCs w:val="28"/>
              </w:rPr>
              <w:t>факт</w:t>
            </w:r>
          </w:p>
        </w:tc>
        <w:tc>
          <w:tcPr>
            <w:tcW w:w="1842" w:type="dxa"/>
            <w:tcBorders>
              <w:top w:val="single" w:sz="4" w:space="0" w:color="auto"/>
              <w:left w:val="single" w:sz="4" w:space="0" w:color="auto"/>
              <w:bottom w:val="single" w:sz="4" w:space="0" w:color="auto"/>
              <w:right w:val="single" w:sz="4" w:space="0" w:color="auto"/>
            </w:tcBorders>
          </w:tcPr>
          <w:p w:rsidR="007D39AB" w:rsidRPr="00EC7A54" w:rsidRDefault="007D39AB" w:rsidP="00485474">
            <w:pPr>
              <w:autoSpaceDE w:val="0"/>
              <w:autoSpaceDN w:val="0"/>
              <w:adjustRightInd w:val="0"/>
              <w:spacing w:after="0" w:line="240" w:lineRule="auto"/>
              <w:ind w:firstLine="33"/>
              <w:jc w:val="center"/>
              <w:rPr>
                <w:rFonts w:ascii="Times New Roman" w:hAnsi="Times New Roman"/>
                <w:sz w:val="28"/>
                <w:szCs w:val="28"/>
              </w:rPr>
            </w:pPr>
            <w:r w:rsidRPr="00EC7A54">
              <w:rPr>
                <w:rFonts w:ascii="Times New Roman" w:hAnsi="Times New Roman"/>
                <w:sz w:val="28"/>
                <w:szCs w:val="28"/>
              </w:rPr>
              <w:t xml:space="preserve">2016 </w:t>
            </w:r>
          </w:p>
          <w:p w:rsidR="007D39AB" w:rsidRPr="00EC7A54" w:rsidRDefault="007D39AB" w:rsidP="00485474">
            <w:pPr>
              <w:autoSpaceDE w:val="0"/>
              <w:autoSpaceDN w:val="0"/>
              <w:adjustRightInd w:val="0"/>
              <w:spacing w:after="0" w:line="240" w:lineRule="auto"/>
              <w:ind w:firstLine="33"/>
              <w:jc w:val="center"/>
              <w:rPr>
                <w:rFonts w:ascii="Times New Roman" w:hAnsi="Times New Roman"/>
                <w:sz w:val="28"/>
                <w:szCs w:val="28"/>
              </w:rPr>
            </w:pPr>
            <w:r w:rsidRPr="00EC7A54">
              <w:rPr>
                <w:rFonts w:ascii="Times New Roman" w:hAnsi="Times New Roman"/>
                <w:sz w:val="28"/>
                <w:szCs w:val="28"/>
              </w:rPr>
              <w:t>оценка</w:t>
            </w:r>
          </w:p>
        </w:tc>
        <w:tc>
          <w:tcPr>
            <w:tcW w:w="1799" w:type="dxa"/>
            <w:tcBorders>
              <w:top w:val="single" w:sz="4" w:space="0" w:color="auto"/>
              <w:left w:val="single" w:sz="4" w:space="0" w:color="auto"/>
              <w:bottom w:val="single" w:sz="4" w:space="0" w:color="auto"/>
              <w:right w:val="single" w:sz="4" w:space="0" w:color="auto"/>
            </w:tcBorders>
          </w:tcPr>
          <w:p w:rsidR="007D39AB" w:rsidRPr="00EC7A54" w:rsidRDefault="007D39AB" w:rsidP="00485474">
            <w:pPr>
              <w:autoSpaceDE w:val="0"/>
              <w:autoSpaceDN w:val="0"/>
              <w:adjustRightInd w:val="0"/>
              <w:spacing w:after="0" w:line="240" w:lineRule="auto"/>
              <w:ind w:firstLine="34"/>
              <w:jc w:val="center"/>
              <w:rPr>
                <w:rFonts w:ascii="Times New Roman" w:hAnsi="Times New Roman"/>
                <w:sz w:val="28"/>
                <w:szCs w:val="28"/>
              </w:rPr>
            </w:pPr>
            <w:r w:rsidRPr="00EC7A54">
              <w:rPr>
                <w:rFonts w:ascii="Times New Roman" w:hAnsi="Times New Roman"/>
                <w:sz w:val="28"/>
                <w:szCs w:val="28"/>
              </w:rPr>
              <w:t>2017 прогноз</w:t>
            </w:r>
          </w:p>
        </w:tc>
        <w:tc>
          <w:tcPr>
            <w:tcW w:w="1941" w:type="dxa"/>
            <w:tcBorders>
              <w:top w:val="single" w:sz="4" w:space="0" w:color="auto"/>
              <w:left w:val="single" w:sz="4" w:space="0" w:color="auto"/>
              <w:bottom w:val="single" w:sz="4" w:space="0" w:color="auto"/>
            </w:tcBorders>
          </w:tcPr>
          <w:p w:rsidR="007D39AB" w:rsidRPr="00EC7A54" w:rsidRDefault="007D39AB" w:rsidP="00485474">
            <w:pPr>
              <w:autoSpaceDE w:val="0"/>
              <w:autoSpaceDN w:val="0"/>
              <w:adjustRightInd w:val="0"/>
              <w:spacing w:after="0" w:line="240" w:lineRule="auto"/>
              <w:jc w:val="center"/>
              <w:rPr>
                <w:rFonts w:ascii="Times New Roman" w:hAnsi="Times New Roman"/>
                <w:sz w:val="28"/>
                <w:szCs w:val="28"/>
              </w:rPr>
            </w:pPr>
            <w:r w:rsidRPr="00EC7A54">
              <w:rPr>
                <w:rFonts w:ascii="Times New Roman" w:hAnsi="Times New Roman"/>
                <w:sz w:val="28"/>
                <w:szCs w:val="28"/>
              </w:rPr>
              <w:t xml:space="preserve">2018 </w:t>
            </w:r>
          </w:p>
          <w:p w:rsidR="007D39AB" w:rsidRPr="00EC7A54" w:rsidRDefault="007D39AB" w:rsidP="00485474">
            <w:pPr>
              <w:autoSpaceDE w:val="0"/>
              <w:autoSpaceDN w:val="0"/>
              <w:adjustRightInd w:val="0"/>
              <w:spacing w:after="0" w:line="240" w:lineRule="auto"/>
              <w:jc w:val="center"/>
              <w:rPr>
                <w:rFonts w:ascii="Times New Roman" w:hAnsi="Times New Roman"/>
                <w:sz w:val="28"/>
                <w:szCs w:val="28"/>
              </w:rPr>
            </w:pPr>
            <w:r w:rsidRPr="00EC7A54">
              <w:rPr>
                <w:rFonts w:ascii="Times New Roman" w:hAnsi="Times New Roman"/>
                <w:sz w:val="28"/>
                <w:szCs w:val="28"/>
              </w:rPr>
              <w:t>прогноз</w:t>
            </w:r>
          </w:p>
        </w:tc>
      </w:tr>
      <w:tr w:rsidR="007D39AB" w:rsidRPr="00EC7A54" w:rsidTr="006E1F3D">
        <w:tc>
          <w:tcPr>
            <w:tcW w:w="2943"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firstLine="567"/>
              <w:rPr>
                <w:rFonts w:ascii="Times New Roman" w:hAnsi="Times New Roman"/>
                <w:sz w:val="28"/>
                <w:szCs w:val="28"/>
              </w:rPr>
            </w:pPr>
            <w:r w:rsidRPr="00EC7A54">
              <w:rPr>
                <w:rFonts w:ascii="Times New Roman" w:hAnsi="Times New Roman"/>
                <w:sz w:val="28"/>
                <w:szCs w:val="28"/>
              </w:rPr>
              <w:t>Объем инвестиций в основной капитал - всего,тыс.рублей</w:t>
            </w:r>
          </w:p>
        </w:tc>
        <w:tc>
          <w:tcPr>
            <w:tcW w:w="1560"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r w:rsidRPr="00EC7A54">
              <w:rPr>
                <w:rFonts w:ascii="Times New Roman" w:hAnsi="Times New Roman"/>
                <w:sz w:val="28"/>
                <w:szCs w:val="28"/>
              </w:rPr>
              <w:t>7845351,00</w:t>
            </w:r>
          </w:p>
        </w:tc>
        <w:tc>
          <w:tcPr>
            <w:tcW w:w="1842"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ind w:hanging="42"/>
              <w:jc w:val="center"/>
              <w:rPr>
                <w:rFonts w:ascii="Times New Roman" w:hAnsi="Times New Roman"/>
                <w:sz w:val="28"/>
                <w:szCs w:val="28"/>
              </w:rPr>
            </w:pPr>
            <w:r w:rsidRPr="00EC7A54">
              <w:rPr>
                <w:rFonts w:ascii="Times New Roman" w:hAnsi="Times New Roman"/>
                <w:sz w:val="28"/>
                <w:szCs w:val="28"/>
              </w:rPr>
              <w:t>25 380843, 79</w:t>
            </w:r>
          </w:p>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p>
        </w:tc>
        <w:tc>
          <w:tcPr>
            <w:tcW w:w="1799"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r w:rsidRPr="00EC7A54">
              <w:rPr>
                <w:rFonts w:ascii="Times New Roman" w:hAnsi="Times New Roman"/>
                <w:sz w:val="28"/>
                <w:szCs w:val="28"/>
              </w:rPr>
              <w:t>15705060,00</w:t>
            </w:r>
          </w:p>
        </w:tc>
        <w:tc>
          <w:tcPr>
            <w:tcW w:w="1941" w:type="dxa"/>
            <w:tcBorders>
              <w:top w:val="single" w:sz="4" w:space="0" w:color="auto"/>
              <w:left w:val="single" w:sz="4" w:space="0" w:color="auto"/>
              <w:bottom w:val="single" w:sz="4" w:space="0" w:color="auto"/>
            </w:tcBorders>
          </w:tcPr>
          <w:p w:rsidR="007D39AB" w:rsidRPr="00EC7A54" w:rsidRDefault="007D39AB" w:rsidP="006E1F3D">
            <w:pPr>
              <w:autoSpaceDE w:val="0"/>
              <w:autoSpaceDN w:val="0"/>
              <w:adjustRightInd w:val="0"/>
              <w:ind w:hanging="42"/>
              <w:jc w:val="center"/>
              <w:rPr>
                <w:rFonts w:ascii="Times New Roman" w:hAnsi="Times New Roman"/>
                <w:sz w:val="28"/>
                <w:szCs w:val="28"/>
              </w:rPr>
            </w:pPr>
            <w:r w:rsidRPr="00EC7A54">
              <w:rPr>
                <w:rFonts w:ascii="Times New Roman" w:hAnsi="Times New Roman"/>
                <w:sz w:val="28"/>
                <w:szCs w:val="28"/>
              </w:rPr>
              <w:t>742 770,00</w:t>
            </w:r>
          </w:p>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p>
        </w:tc>
      </w:tr>
      <w:tr w:rsidR="007D39AB" w:rsidRPr="00EC7A54" w:rsidTr="006E1F3D">
        <w:tc>
          <w:tcPr>
            <w:tcW w:w="2943"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firstLine="567"/>
              <w:rPr>
                <w:rFonts w:ascii="Times New Roman" w:hAnsi="Times New Roman"/>
                <w:sz w:val="28"/>
                <w:szCs w:val="28"/>
              </w:rPr>
            </w:pPr>
            <w:r w:rsidRPr="00EC7A54">
              <w:rPr>
                <w:rFonts w:ascii="Times New Roman" w:hAnsi="Times New Roman"/>
                <w:sz w:val="28"/>
                <w:szCs w:val="28"/>
              </w:rPr>
              <w:t>Из них бюджетные средства, в т.ч.</w:t>
            </w:r>
          </w:p>
        </w:tc>
        <w:tc>
          <w:tcPr>
            <w:tcW w:w="1560"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r w:rsidRPr="00EC7A54">
              <w:rPr>
                <w:rFonts w:ascii="Times New Roman" w:hAnsi="Times New Roman"/>
                <w:sz w:val="28"/>
                <w:szCs w:val="28"/>
              </w:rPr>
              <w:t>50913,00</w:t>
            </w:r>
          </w:p>
        </w:tc>
        <w:tc>
          <w:tcPr>
            <w:tcW w:w="1842"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r w:rsidRPr="00EC7A54">
              <w:rPr>
                <w:rFonts w:ascii="Times New Roman" w:hAnsi="Times New Roman"/>
                <w:sz w:val="28"/>
                <w:szCs w:val="28"/>
              </w:rPr>
              <w:t>48113,791</w:t>
            </w:r>
          </w:p>
        </w:tc>
        <w:tc>
          <w:tcPr>
            <w:tcW w:w="1799"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r w:rsidRPr="00EC7A54">
              <w:rPr>
                <w:rFonts w:ascii="Times New Roman" w:hAnsi="Times New Roman"/>
                <w:sz w:val="28"/>
                <w:szCs w:val="28"/>
              </w:rPr>
              <w:t>3100,00</w:t>
            </w:r>
          </w:p>
        </w:tc>
        <w:tc>
          <w:tcPr>
            <w:tcW w:w="1941" w:type="dxa"/>
            <w:tcBorders>
              <w:top w:val="single" w:sz="4" w:space="0" w:color="auto"/>
              <w:left w:val="single" w:sz="4" w:space="0" w:color="auto"/>
              <w:bottom w:val="single" w:sz="4" w:space="0" w:color="auto"/>
            </w:tcBorders>
          </w:tcPr>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r w:rsidRPr="00EC7A54">
              <w:rPr>
                <w:rFonts w:ascii="Times New Roman" w:hAnsi="Times New Roman"/>
                <w:sz w:val="28"/>
                <w:szCs w:val="28"/>
              </w:rPr>
              <w:t>3100,00</w:t>
            </w:r>
          </w:p>
        </w:tc>
      </w:tr>
      <w:tr w:rsidR="007D39AB" w:rsidRPr="00EC7A54" w:rsidTr="006E1F3D">
        <w:tc>
          <w:tcPr>
            <w:tcW w:w="2943"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firstLine="567"/>
              <w:rPr>
                <w:rFonts w:ascii="Times New Roman" w:hAnsi="Times New Roman"/>
                <w:sz w:val="28"/>
                <w:szCs w:val="28"/>
              </w:rPr>
            </w:pPr>
            <w:r w:rsidRPr="00EC7A54">
              <w:rPr>
                <w:rFonts w:ascii="Times New Roman" w:hAnsi="Times New Roman"/>
                <w:sz w:val="28"/>
                <w:szCs w:val="28"/>
              </w:rPr>
              <w:t xml:space="preserve">на строительство Детского сада в с.Б-Улуй </w:t>
            </w:r>
          </w:p>
        </w:tc>
        <w:tc>
          <w:tcPr>
            <w:tcW w:w="1560"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r w:rsidRPr="00EC7A54">
              <w:rPr>
                <w:rFonts w:ascii="Times New Roman" w:hAnsi="Times New Roman"/>
                <w:sz w:val="28"/>
                <w:szCs w:val="28"/>
              </w:rPr>
              <w:t>38647,063</w:t>
            </w:r>
          </w:p>
        </w:tc>
        <w:tc>
          <w:tcPr>
            <w:tcW w:w="1842"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r w:rsidRPr="00EC7A54">
              <w:rPr>
                <w:rFonts w:ascii="Times New Roman" w:hAnsi="Times New Roman"/>
                <w:sz w:val="28"/>
                <w:szCs w:val="28"/>
              </w:rPr>
              <w:t>45263,791</w:t>
            </w:r>
          </w:p>
        </w:tc>
        <w:tc>
          <w:tcPr>
            <w:tcW w:w="1799"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r w:rsidRPr="00EC7A54">
              <w:rPr>
                <w:rFonts w:ascii="Times New Roman" w:hAnsi="Times New Roman"/>
                <w:sz w:val="28"/>
                <w:szCs w:val="28"/>
              </w:rPr>
              <w:t>-</w:t>
            </w:r>
          </w:p>
        </w:tc>
        <w:tc>
          <w:tcPr>
            <w:tcW w:w="1941" w:type="dxa"/>
            <w:tcBorders>
              <w:top w:val="single" w:sz="4" w:space="0" w:color="auto"/>
              <w:left w:val="single" w:sz="4" w:space="0" w:color="auto"/>
              <w:bottom w:val="single" w:sz="4" w:space="0" w:color="auto"/>
            </w:tcBorders>
          </w:tcPr>
          <w:p w:rsidR="007D39AB" w:rsidRPr="00EC7A54" w:rsidRDefault="007D39AB" w:rsidP="006E1F3D">
            <w:pPr>
              <w:autoSpaceDE w:val="0"/>
              <w:autoSpaceDN w:val="0"/>
              <w:adjustRightInd w:val="0"/>
              <w:spacing w:after="0" w:line="240" w:lineRule="auto"/>
              <w:ind w:hanging="42"/>
              <w:jc w:val="center"/>
              <w:rPr>
                <w:rFonts w:ascii="Times New Roman" w:hAnsi="Times New Roman"/>
                <w:sz w:val="28"/>
                <w:szCs w:val="28"/>
              </w:rPr>
            </w:pPr>
            <w:r w:rsidRPr="00EC7A54">
              <w:rPr>
                <w:rFonts w:ascii="Times New Roman" w:hAnsi="Times New Roman"/>
                <w:sz w:val="28"/>
                <w:szCs w:val="28"/>
              </w:rPr>
              <w:t>-</w:t>
            </w:r>
          </w:p>
        </w:tc>
      </w:tr>
      <w:tr w:rsidR="007D39AB" w:rsidRPr="00EC7A54" w:rsidTr="006E1F3D">
        <w:tc>
          <w:tcPr>
            <w:tcW w:w="2943"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firstLine="567"/>
              <w:rPr>
                <w:rFonts w:ascii="Times New Roman" w:hAnsi="Times New Roman"/>
                <w:sz w:val="28"/>
                <w:szCs w:val="28"/>
              </w:rPr>
            </w:pPr>
            <w:r w:rsidRPr="00EC7A54">
              <w:rPr>
                <w:rFonts w:ascii="Times New Roman" w:hAnsi="Times New Roman"/>
                <w:sz w:val="28"/>
                <w:szCs w:val="28"/>
              </w:rPr>
              <w:t>Объем инвестиций без бюджетных средств,тыс.рублей</w:t>
            </w:r>
          </w:p>
        </w:tc>
        <w:tc>
          <w:tcPr>
            <w:tcW w:w="1560"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jc w:val="center"/>
              <w:rPr>
                <w:rFonts w:ascii="Times New Roman" w:hAnsi="Times New Roman"/>
                <w:sz w:val="28"/>
                <w:szCs w:val="28"/>
              </w:rPr>
            </w:pPr>
          </w:p>
          <w:p w:rsidR="007D39AB" w:rsidRPr="00EC7A54" w:rsidRDefault="007D39AB" w:rsidP="006E1F3D">
            <w:pPr>
              <w:autoSpaceDE w:val="0"/>
              <w:autoSpaceDN w:val="0"/>
              <w:adjustRightInd w:val="0"/>
              <w:spacing w:after="0" w:line="240" w:lineRule="auto"/>
              <w:jc w:val="center"/>
              <w:rPr>
                <w:rFonts w:ascii="Times New Roman" w:hAnsi="Times New Roman"/>
                <w:sz w:val="28"/>
                <w:szCs w:val="28"/>
              </w:rPr>
            </w:pPr>
            <w:r w:rsidRPr="00EC7A54">
              <w:rPr>
                <w:rFonts w:ascii="Times New Roman" w:hAnsi="Times New Roman"/>
                <w:sz w:val="28"/>
                <w:szCs w:val="28"/>
              </w:rPr>
              <w:t>7794438,00</w:t>
            </w:r>
          </w:p>
        </w:tc>
        <w:tc>
          <w:tcPr>
            <w:tcW w:w="1842"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jc w:val="center"/>
              <w:rPr>
                <w:rFonts w:ascii="Times New Roman" w:hAnsi="Times New Roman"/>
                <w:sz w:val="28"/>
                <w:szCs w:val="28"/>
              </w:rPr>
            </w:pPr>
          </w:p>
          <w:p w:rsidR="007D39AB" w:rsidRPr="00EC7A54" w:rsidRDefault="007D39AB" w:rsidP="006E1F3D">
            <w:pPr>
              <w:autoSpaceDE w:val="0"/>
              <w:autoSpaceDN w:val="0"/>
              <w:adjustRightInd w:val="0"/>
              <w:spacing w:after="0" w:line="240" w:lineRule="auto"/>
              <w:jc w:val="center"/>
              <w:rPr>
                <w:rFonts w:ascii="Times New Roman" w:hAnsi="Times New Roman"/>
                <w:sz w:val="28"/>
                <w:szCs w:val="28"/>
              </w:rPr>
            </w:pPr>
            <w:r w:rsidRPr="00EC7A54">
              <w:rPr>
                <w:rFonts w:ascii="Times New Roman" w:hAnsi="Times New Roman"/>
                <w:sz w:val="28"/>
                <w:szCs w:val="28"/>
              </w:rPr>
              <w:t>25332730,00</w:t>
            </w:r>
          </w:p>
        </w:tc>
        <w:tc>
          <w:tcPr>
            <w:tcW w:w="1799"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jc w:val="center"/>
              <w:rPr>
                <w:rFonts w:ascii="Times New Roman" w:hAnsi="Times New Roman"/>
                <w:sz w:val="28"/>
                <w:szCs w:val="28"/>
              </w:rPr>
            </w:pPr>
          </w:p>
          <w:p w:rsidR="007D39AB" w:rsidRPr="00EC7A54" w:rsidRDefault="007D39AB" w:rsidP="006E1F3D">
            <w:pPr>
              <w:autoSpaceDE w:val="0"/>
              <w:autoSpaceDN w:val="0"/>
              <w:adjustRightInd w:val="0"/>
              <w:spacing w:after="0" w:line="240" w:lineRule="auto"/>
              <w:jc w:val="center"/>
              <w:rPr>
                <w:rFonts w:ascii="Times New Roman" w:hAnsi="Times New Roman"/>
                <w:sz w:val="28"/>
                <w:szCs w:val="28"/>
              </w:rPr>
            </w:pPr>
            <w:r w:rsidRPr="00EC7A54">
              <w:rPr>
                <w:rFonts w:ascii="Times New Roman" w:hAnsi="Times New Roman"/>
                <w:sz w:val="28"/>
                <w:szCs w:val="28"/>
              </w:rPr>
              <w:t>15701960,00</w:t>
            </w:r>
          </w:p>
        </w:tc>
        <w:tc>
          <w:tcPr>
            <w:tcW w:w="1941" w:type="dxa"/>
            <w:tcBorders>
              <w:top w:val="single" w:sz="4" w:space="0" w:color="auto"/>
              <w:left w:val="single" w:sz="4" w:space="0" w:color="auto"/>
              <w:bottom w:val="single" w:sz="4" w:space="0" w:color="auto"/>
            </w:tcBorders>
          </w:tcPr>
          <w:p w:rsidR="007D39AB" w:rsidRPr="00EC7A54" w:rsidRDefault="007D39AB" w:rsidP="006E1F3D">
            <w:pPr>
              <w:autoSpaceDE w:val="0"/>
              <w:autoSpaceDN w:val="0"/>
              <w:adjustRightInd w:val="0"/>
              <w:spacing w:after="0" w:line="240" w:lineRule="auto"/>
              <w:jc w:val="center"/>
              <w:rPr>
                <w:rFonts w:ascii="Times New Roman" w:hAnsi="Times New Roman"/>
                <w:sz w:val="28"/>
                <w:szCs w:val="28"/>
              </w:rPr>
            </w:pPr>
          </w:p>
          <w:p w:rsidR="007D39AB" w:rsidRPr="00EC7A54" w:rsidRDefault="007D39AB" w:rsidP="006E1F3D">
            <w:pPr>
              <w:autoSpaceDE w:val="0"/>
              <w:autoSpaceDN w:val="0"/>
              <w:adjustRightInd w:val="0"/>
              <w:spacing w:after="0" w:line="240" w:lineRule="auto"/>
              <w:jc w:val="center"/>
              <w:rPr>
                <w:rFonts w:ascii="Times New Roman" w:hAnsi="Times New Roman"/>
                <w:sz w:val="28"/>
                <w:szCs w:val="28"/>
              </w:rPr>
            </w:pPr>
            <w:r w:rsidRPr="00EC7A54">
              <w:rPr>
                <w:rFonts w:ascii="Times New Roman" w:hAnsi="Times New Roman"/>
                <w:sz w:val="28"/>
                <w:szCs w:val="28"/>
              </w:rPr>
              <w:t>739670,00</w:t>
            </w:r>
          </w:p>
        </w:tc>
      </w:tr>
      <w:tr w:rsidR="007D39AB" w:rsidRPr="00EC7A54" w:rsidTr="006E1F3D">
        <w:tc>
          <w:tcPr>
            <w:tcW w:w="2943"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firstLine="567"/>
              <w:rPr>
                <w:rFonts w:ascii="Times New Roman" w:hAnsi="Times New Roman"/>
                <w:sz w:val="28"/>
                <w:szCs w:val="28"/>
              </w:rPr>
            </w:pPr>
            <w:r w:rsidRPr="00EC7A54">
              <w:rPr>
                <w:rFonts w:ascii="Times New Roman" w:hAnsi="Times New Roman"/>
                <w:sz w:val="28"/>
                <w:szCs w:val="28"/>
              </w:rPr>
              <w:t>Среднегодовая численность населения,чел.</w:t>
            </w:r>
          </w:p>
        </w:tc>
        <w:tc>
          <w:tcPr>
            <w:tcW w:w="1560"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6E1F3D">
            <w:pPr>
              <w:autoSpaceDE w:val="0"/>
              <w:autoSpaceDN w:val="0"/>
              <w:adjustRightInd w:val="0"/>
              <w:jc w:val="center"/>
              <w:rPr>
                <w:rFonts w:ascii="Times New Roman" w:hAnsi="Times New Roman"/>
                <w:sz w:val="28"/>
                <w:szCs w:val="28"/>
              </w:rPr>
            </w:pPr>
            <w:r w:rsidRPr="00EC7A54">
              <w:rPr>
                <w:rFonts w:ascii="Times New Roman" w:hAnsi="Times New Roman"/>
                <w:sz w:val="28"/>
                <w:szCs w:val="28"/>
              </w:rPr>
              <w:t>7764</w:t>
            </w:r>
          </w:p>
        </w:tc>
        <w:tc>
          <w:tcPr>
            <w:tcW w:w="1842"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6E1F3D">
            <w:pPr>
              <w:autoSpaceDE w:val="0"/>
              <w:autoSpaceDN w:val="0"/>
              <w:adjustRightInd w:val="0"/>
              <w:jc w:val="center"/>
              <w:rPr>
                <w:rFonts w:ascii="Times New Roman" w:hAnsi="Times New Roman"/>
                <w:sz w:val="28"/>
                <w:szCs w:val="28"/>
              </w:rPr>
            </w:pPr>
            <w:r w:rsidRPr="00EC7A54">
              <w:rPr>
                <w:rFonts w:ascii="Times New Roman" w:hAnsi="Times New Roman"/>
                <w:sz w:val="28"/>
                <w:szCs w:val="28"/>
              </w:rPr>
              <w:t>7709</w:t>
            </w:r>
          </w:p>
        </w:tc>
        <w:tc>
          <w:tcPr>
            <w:tcW w:w="1799"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6E1F3D">
            <w:pPr>
              <w:autoSpaceDE w:val="0"/>
              <w:autoSpaceDN w:val="0"/>
              <w:adjustRightInd w:val="0"/>
              <w:jc w:val="center"/>
              <w:rPr>
                <w:rFonts w:ascii="Times New Roman" w:hAnsi="Times New Roman"/>
                <w:sz w:val="28"/>
                <w:szCs w:val="28"/>
              </w:rPr>
            </w:pPr>
            <w:r w:rsidRPr="00EC7A54">
              <w:rPr>
                <w:rFonts w:ascii="Times New Roman" w:hAnsi="Times New Roman"/>
                <w:sz w:val="28"/>
                <w:szCs w:val="28"/>
              </w:rPr>
              <w:t>7675</w:t>
            </w:r>
          </w:p>
        </w:tc>
        <w:tc>
          <w:tcPr>
            <w:tcW w:w="1941" w:type="dxa"/>
            <w:tcBorders>
              <w:top w:val="single" w:sz="4" w:space="0" w:color="auto"/>
              <w:left w:val="single" w:sz="4" w:space="0" w:color="auto"/>
              <w:bottom w:val="single" w:sz="4" w:space="0" w:color="auto"/>
            </w:tcBorders>
            <w:vAlign w:val="center"/>
          </w:tcPr>
          <w:p w:rsidR="007D39AB" w:rsidRPr="00EC7A54" w:rsidRDefault="007D39AB" w:rsidP="006E1F3D">
            <w:pPr>
              <w:autoSpaceDE w:val="0"/>
              <w:autoSpaceDN w:val="0"/>
              <w:adjustRightInd w:val="0"/>
              <w:jc w:val="center"/>
              <w:rPr>
                <w:rFonts w:ascii="Times New Roman" w:hAnsi="Times New Roman"/>
                <w:sz w:val="28"/>
                <w:szCs w:val="28"/>
              </w:rPr>
            </w:pPr>
            <w:r w:rsidRPr="00EC7A54">
              <w:rPr>
                <w:rFonts w:ascii="Times New Roman" w:hAnsi="Times New Roman"/>
                <w:sz w:val="28"/>
                <w:szCs w:val="28"/>
              </w:rPr>
              <w:t>7651</w:t>
            </w:r>
          </w:p>
        </w:tc>
      </w:tr>
      <w:tr w:rsidR="007D39AB" w:rsidRPr="00EC7A54" w:rsidTr="006E1F3D">
        <w:tc>
          <w:tcPr>
            <w:tcW w:w="2943"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240" w:lineRule="auto"/>
              <w:ind w:firstLine="567"/>
              <w:rPr>
                <w:rFonts w:ascii="Times New Roman" w:hAnsi="Times New Roman"/>
                <w:sz w:val="28"/>
                <w:szCs w:val="28"/>
              </w:rPr>
            </w:pPr>
            <w:r w:rsidRPr="00EC7A54">
              <w:rPr>
                <w:rFonts w:ascii="Times New Roman" w:hAnsi="Times New Roman"/>
                <w:sz w:val="28"/>
                <w:szCs w:val="28"/>
              </w:rPr>
              <w:t>Объем инвестиций (без бюджетных средств) на 1 жителя, рублей</w:t>
            </w:r>
          </w:p>
        </w:tc>
        <w:tc>
          <w:tcPr>
            <w:tcW w:w="1560"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6E1F3D">
            <w:pPr>
              <w:autoSpaceDE w:val="0"/>
              <w:autoSpaceDN w:val="0"/>
              <w:adjustRightInd w:val="0"/>
              <w:jc w:val="center"/>
              <w:rPr>
                <w:rFonts w:ascii="Times New Roman" w:hAnsi="Times New Roman"/>
                <w:sz w:val="28"/>
                <w:szCs w:val="28"/>
              </w:rPr>
            </w:pPr>
            <w:r w:rsidRPr="00EC7A54">
              <w:rPr>
                <w:rFonts w:ascii="Times New Roman" w:hAnsi="Times New Roman"/>
                <w:sz w:val="28"/>
                <w:szCs w:val="28"/>
              </w:rPr>
              <w:t>1003920.40</w:t>
            </w:r>
          </w:p>
        </w:tc>
        <w:tc>
          <w:tcPr>
            <w:tcW w:w="1842"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6E1F3D">
            <w:pPr>
              <w:autoSpaceDE w:val="0"/>
              <w:autoSpaceDN w:val="0"/>
              <w:adjustRightInd w:val="0"/>
              <w:jc w:val="center"/>
              <w:rPr>
                <w:rFonts w:ascii="Times New Roman" w:hAnsi="Times New Roman"/>
                <w:sz w:val="28"/>
                <w:szCs w:val="28"/>
              </w:rPr>
            </w:pPr>
            <w:r w:rsidRPr="00EC7A54">
              <w:rPr>
                <w:rFonts w:ascii="Times New Roman" w:hAnsi="Times New Roman"/>
                <w:sz w:val="28"/>
                <w:szCs w:val="28"/>
              </w:rPr>
              <w:t>3286124.00</w:t>
            </w:r>
          </w:p>
        </w:tc>
        <w:tc>
          <w:tcPr>
            <w:tcW w:w="1799"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6E1F3D">
            <w:pPr>
              <w:autoSpaceDE w:val="0"/>
              <w:autoSpaceDN w:val="0"/>
              <w:adjustRightInd w:val="0"/>
              <w:jc w:val="center"/>
              <w:rPr>
                <w:rFonts w:ascii="Times New Roman" w:hAnsi="Times New Roman"/>
                <w:sz w:val="28"/>
                <w:szCs w:val="28"/>
              </w:rPr>
            </w:pPr>
            <w:r w:rsidRPr="00EC7A54">
              <w:rPr>
                <w:rFonts w:ascii="Times New Roman" w:hAnsi="Times New Roman"/>
                <w:sz w:val="28"/>
                <w:szCs w:val="28"/>
              </w:rPr>
              <w:t>2045857.98</w:t>
            </w:r>
          </w:p>
        </w:tc>
        <w:tc>
          <w:tcPr>
            <w:tcW w:w="1941" w:type="dxa"/>
            <w:tcBorders>
              <w:top w:val="single" w:sz="4" w:space="0" w:color="auto"/>
              <w:left w:val="single" w:sz="4" w:space="0" w:color="auto"/>
              <w:bottom w:val="single" w:sz="4" w:space="0" w:color="auto"/>
            </w:tcBorders>
            <w:vAlign w:val="center"/>
          </w:tcPr>
          <w:p w:rsidR="007D39AB" w:rsidRPr="00EC7A54" w:rsidRDefault="007D39AB" w:rsidP="006E1F3D">
            <w:pPr>
              <w:autoSpaceDE w:val="0"/>
              <w:autoSpaceDN w:val="0"/>
              <w:adjustRightInd w:val="0"/>
              <w:jc w:val="center"/>
              <w:rPr>
                <w:rFonts w:ascii="Times New Roman" w:hAnsi="Times New Roman"/>
                <w:sz w:val="28"/>
                <w:szCs w:val="28"/>
              </w:rPr>
            </w:pPr>
            <w:r w:rsidRPr="00EC7A54">
              <w:rPr>
                <w:rFonts w:ascii="Times New Roman" w:hAnsi="Times New Roman"/>
                <w:sz w:val="28"/>
                <w:szCs w:val="28"/>
              </w:rPr>
              <w:t>96676.25</w:t>
            </w:r>
          </w:p>
        </w:tc>
      </w:tr>
    </w:tbl>
    <w:p w:rsidR="007D39AB" w:rsidRPr="006E1F3D" w:rsidRDefault="007D39AB" w:rsidP="006E1F3D">
      <w:pPr>
        <w:autoSpaceDE w:val="0"/>
        <w:autoSpaceDN w:val="0"/>
        <w:adjustRightInd w:val="0"/>
        <w:spacing w:after="0" w:line="240" w:lineRule="auto"/>
        <w:ind w:firstLine="567"/>
        <w:jc w:val="both"/>
        <w:rPr>
          <w:rFonts w:ascii="Times New Roman" w:hAnsi="Times New Roman"/>
          <w:color w:val="FF0000"/>
          <w:sz w:val="28"/>
          <w:szCs w:val="28"/>
        </w:rPr>
      </w:pPr>
    </w:p>
    <w:p w:rsidR="007D39AB" w:rsidRPr="006E1F3D" w:rsidRDefault="007D39AB" w:rsidP="006E1F3D">
      <w:pPr>
        <w:tabs>
          <w:tab w:val="left" w:pos="567"/>
        </w:tabs>
        <w:autoSpaceDE w:val="0"/>
        <w:autoSpaceDN w:val="0"/>
        <w:adjustRightInd w:val="0"/>
        <w:spacing w:after="0" w:line="240" w:lineRule="auto"/>
        <w:ind w:firstLine="567"/>
        <w:jc w:val="both"/>
        <w:rPr>
          <w:rFonts w:ascii="Times New Roman" w:hAnsi="Times New Roman"/>
          <w:b/>
          <w:bCs/>
          <w:sz w:val="28"/>
          <w:szCs w:val="28"/>
        </w:rPr>
      </w:pPr>
      <w:r w:rsidRPr="006E1F3D">
        <w:rPr>
          <w:rFonts w:ascii="Times New Roman" w:hAnsi="Times New Roman"/>
          <w:sz w:val="28"/>
          <w:szCs w:val="28"/>
        </w:rPr>
        <w:t xml:space="preserve">   Большой объем инвестиций в расчете на одного жителя района в связи с тем, что на ОАО «АНПЗ ВНК» за счет  собственных средств предприятия реализуется проект развития завода (строительство комплекса гидрокрекинга и комплекса производства нефтяного кокса), а также ведется восстановление предприятия после аварии.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Общая площадь территории Большеулуйского района  составляет 270,8 тыс. га.  В 2015 год доля площади земельных участков, являющихся объектами налогообложения земельным налогом, в общей площади территории муниципального образования составила 1,35 % от общей территории  района.</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5. Доля прибыльных сельскохозяйственных организаций в общем их числе</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Сельское хозяйство Большеулуйского района представлено сельскохозяйственным предприятием МУП «Рассвет», занимающимся выращиванием зерновых культур и разведением лошадей  сельскохозяйственным потребительским кооперативом: СППК «БУСКо» (занимающимся закупом молока у населения района с последующей переработкой),  12 крестьянскими (фермерскими) хозяйствами и 3371 – личными подсобными хозяйствами.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Прибыльных сельскохозяйственных предприятий  в районе в  2015 году  нет, в связи с тем, что единственное сельскохозяйственное предприятие МУП «Рассвет» убыточное, убыток составляет 883 тыс. рубля.  Убыток от продаж составил 690 тыс. рублей. С 2016 года МУП «Рассвет» производственно-финансовой деятельностью не занимается, вследствие чего прогнозные данные до 2018 года доля прибыльных сельскохозяйственных организаций, в общем их числе показателей нет.</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w:t>
      </w:r>
      <w:r w:rsidRPr="006E1F3D">
        <w:rPr>
          <w:rFonts w:ascii="Times New Roman" w:hAnsi="Times New Roman"/>
          <w:color w:val="000000"/>
          <w:sz w:val="28"/>
          <w:szCs w:val="28"/>
        </w:rPr>
        <w:t xml:space="preserve">В 2015 году протяженность автомобильных дорог составила  421 км. Основная магистральная автомобильная дорога в районе представлена ответвлением от федеральной дороги М-53 «Байкал» Ачинск - Бирилюссы. На дорогах имеется 11 железобетонных мостов, общей длиной 544,7 м. </w:t>
      </w:r>
      <w:r w:rsidRPr="006E1F3D">
        <w:rPr>
          <w:rFonts w:ascii="Times New Roman" w:hAnsi="Times New Roman"/>
          <w:sz w:val="28"/>
          <w:szCs w:val="28"/>
        </w:rPr>
        <w:t xml:space="preserve">Протяженность улично-дорожной сети Большеулуйского района составляет 152,60  км, в том числе с  твердым покрытием 112,4 км.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Для увеличения транспортно-эксплуатационных характеристик проезжей части и обустройства улиц район ежегодно участвует в конкурсном отборе на получение субсидии для модернизации уличной дорожной сети населенных пунктов сельских поселений.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В 2015 году диагностика состояния  автомобильных дорог  не проводилась.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Автомобильные пассажирские перевозки в Большеулуйском районе с 2014 года осуществляются одним предприятием - МУП «Сигнал».</w:t>
      </w:r>
      <w:r w:rsidRPr="006E1F3D">
        <w:rPr>
          <w:rFonts w:ascii="Times New Roman" w:hAnsi="Times New Roman"/>
          <w:color w:val="0000FF"/>
          <w:sz w:val="28"/>
          <w:szCs w:val="28"/>
        </w:rPr>
        <w:t xml:space="preserve"> </w:t>
      </w:r>
      <w:r w:rsidRPr="006E1F3D">
        <w:rPr>
          <w:rFonts w:ascii="Times New Roman" w:hAnsi="Times New Roman"/>
          <w:sz w:val="28"/>
          <w:szCs w:val="28"/>
        </w:rPr>
        <w:t xml:space="preserve">Маршрутная сеть пассажирского автомобильного транспорта представлена 12 маршрутами пригородного сообщения. </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FF"/>
          <w:sz w:val="28"/>
          <w:szCs w:val="28"/>
        </w:rPr>
      </w:pPr>
      <w:r w:rsidRPr="006E1F3D">
        <w:rPr>
          <w:rFonts w:ascii="Times New Roman" w:hAnsi="Times New Roman"/>
          <w:sz w:val="28"/>
          <w:szCs w:val="28"/>
        </w:rPr>
        <w:t>Все население, проживающее в населенных пунктах, имеют регулярное автобусное сообщение с административным центром муниципального района.</w:t>
      </w:r>
      <w:r w:rsidRPr="006E1F3D">
        <w:rPr>
          <w:rFonts w:ascii="Times New Roman" w:hAnsi="Times New Roman"/>
          <w:color w:val="0000FF"/>
          <w:sz w:val="28"/>
          <w:szCs w:val="28"/>
        </w:rPr>
        <w:t xml:space="preserve">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9 населенных пунктов (Бычковский и Удачинский сельские Советы) не имеют постоянного прямого сообщения с райцентром в весенне-осенний период из-за отсутствия моста через р. Чулым. В летнее время движение осуществляется по понтонному мосту длиной 183 м, грузоподъемностью 60 тонн, зимой действует ледовая переправа.</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Субсидирование расходов, возникающих в результате небольшой интенсивности пассажиропотоков, при выполнении  межмуниципальных пригородных автобусных маршрутов в 2015 году составило 6888,7 тыс. рублей.</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8. Среднемесячная номинальная начисленная заработная плата работников:</w:t>
      </w:r>
    </w:p>
    <w:p w:rsidR="007D39AB" w:rsidRPr="006E1F3D" w:rsidRDefault="007D39AB" w:rsidP="006E1F3D">
      <w:pPr>
        <w:tabs>
          <w:tab w:val="left" w:pos="720"/>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Основным источником денежных  доходов  населения является заработная плата.  Среднемесячная заработная плата работников крупных и средних предприятий и некоммерческих организаций района в 2015 году составила 41942,3  рубля,  темп роста к предыдущему году 102 %,  по оценке в 2016 году ожидается  42781.2 рубля (102,0 %),  по прогнозу: 2017 года – 44278.5 рубля (103,5 %), 2018 год –  45739.7 рубля (103,3 %).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Среднемесячная заработная плата работников основных отраслей социальной сферы  ниже  среднемесячной  заработной платы работников, крупных предприятий, занятых в экономике района, это обусловлено нахождением на территории района крупного предприятия  ОАО «Ачинский НПЗ ВНК», на котором высокая средняя заработная плата. </w:t>
      </w:r>
    </w:p>
    <w:p w:rsidR="007D39AB" w:rsidRPr="006E1F3D" w:rsidRDefault="007D39AB" w:rsidP="006E1F3D">
      <w:pPr>
        <w:tabs>
          <w:tab w:val="left" w:pos="720"/>
        </w:tabs>
        <w:autoSpaceDE w:val="0"/>
        <w:autoSpaceDN w:val="0"/>
        <w:adjustRightInd w:val="0"/>
        <w:spacing w:line="240" w:lineRule="auto"/>
        <w:ind w:firstLine="567"/>
        <w:jc w:val="both"/>
        <w:rPr>
          <w:rFonts w:ascii="Times New Roman" w:hAnsi="Times New Roman"/>
          <w:sz w:val="28"/>
          <w:szCs w:val="28"/>
        </w:rPr>
      </w:pPr>
      <w:r w:rsidRPr="006E1F3D">
        <w:rPr>
          <w:rFonts w:ascii="Times New Roman" w:hAnsi="Times New Roman"/>
          <w:sz w:val="28"/>
          <w:szCs w:val="28"/>
        </w:rPr>
        <w:t xml:space="preserve">Среднемесячная заработная плата в крупных и средних организациях района в 2015 году составила 41942,3  руб., что на 2% выше 2014 года.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В 2015 году была продолжена работа, направленная на выполнение Указов Президента Российской Федерации от 07.05.2012 года № 597 и от 28.12.2012 года № 1688, по повышению оплаты труда некоторым категориям работников бюджетной сферы. Выполнение Указов позволили в 2015 году увеличить заработную плату:</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работникам муниципальных  дошкольных образовательных учреждений, на 17,2 % (16482,5 руб.);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работникам муниципальных  общеобразовательных учреждений, на 14,0% (23930,9 руб.);</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учителям муниципальных общеобразовательных учреждений, на 15,1% (35487,4 руб.);</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работникам муниципальных  учреждений культуры и искусства, на 17,5% (15865,4 руб.);</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работникам муниципальных  учреждений физической культуры и спорта, на 21,6% (18235,8 руб.).</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w:t>
      </w:r>
    </w:p>
    <w:p w:rsidR="007D39AB"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b/>
          <w:bCs/>
          <w:color w:val="000000"/>
          <w:sz w:val="28"/>
          <w:szCs w:val="28"/>
          <w:lang w:val="en-US"/>
        </w:rPr>
        <w:t>II</w:t>
      </w:r>
      <w:r w:rsidRPr="006E1F3D">
        <w:rPr>
          <w:rFonts w:ascii="Times New Roman" w:hAnsi="Times New Roman"/>
          <w:b/>
          <w:bCs/>
          <w:color w:val="000000"/>
          <w:sz w:val="28"/>
          <w:szCs w:val="28"/>
        </w:rPr>
        <w:t>. Дошкольное образование</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pacing w:val="-1"/>
          <w:sz w:val="28"/>
          <w:szCs w:val="28"/>
        </w:rPr>
        <w:t xml:space="preserve"> </w:t>
      </w:r>
      <w:r w:rsidRPr="006E1F3D">
        <w:rPr>
          <w:rFonts w:ascii="Times New Roman" w:hAnsi="Times New Roman"/>
          <w:sz w:val="28"/>
          <w:szCs w:val="28"/>
        </w:rPr>
        <w:t xml:space="preserve">В Большеулуйском районе функционирует 6 образовательных учреждений, реализующих общеобразовательные программы дошкольного образования. </w:t>
      </w:r>
      <w:r w:rsidRPr="006E1F3D">
        <w:rPr>
          <w:rFonts w:ascii="Times New Roman" w:hAnsi="Times New Roman"/>
          <w:spacing w:val="-1"/>
          <w:sz w:val="28"/>
          <w:szCs w:val="28"/>
        </w:rPr>
        <w:t xml:space="preserve"> </w:t>
      </w:r>
    </w:p>
    <w:p w:rsidR="007D39AB" w:rsidRDefault="007D39AB" w:rsidP="006E1F3D">
      <w:pPr>
        <w:widowControl w:val="0"/>
        <w:autoSpaceDE w:val="0"/>
        <w:autoSpaceDN w:val="0"/>
        <w:adjustRightInd w:val="0"/>
        <w:spacing w:after="0" w:line="240" w:lineRule="auto"/>
        <w:ind w:firstLine="567"/>
        <w:jc w:val="both"/>
        <w:rPr>
          <w:rFonts w:ascii="Times New Roman" w:hAnsi="Times New Roman"/>
          <w:spacing w:val="-1"/>
          <w:sz w:val="28"/>
          <w:szCs w:val="28"/>
        </w:rPr>
      </w:pPr>
      <w:r>
        <w:rPr>
          <w:rFonts w:ascii="Times New Roman" w:hAnsi="Times New Roman"/>
          <w:spacing w:val="-1"/>
          <w:sz w:val="28"/>
          <w:szCs w:val="28"/>
        </w:rPr>
        <w:t xml:space="preserve"> </w:t>
      </w:r>
      <w:r w:rsidRPr="006E1F3D">
        <w:rPr>
          <w:rFonts w:ascii="Times New Roman" w:hAnsi="Times New Roman"/>
          <w:spacing w:val="-1"/>
          <w:sz w:val="28"/>
          <w:szCs w:val="28"/>
        </w:rPr>
        <w:t xml:space="preserve">На 01.01.2016 вместимость 6  дошкольных учреждений,  1-й группы полного дня для детей дошкольного возраста, функционирующей при общеобразовательной организации  и 4-х групп кратковременного пребывания в  соответствии с требованиями санитарно-эпидемиологического законодательства составляет 338 мест: 282 места в группах полного дня, 46 мест в группах кратковременного пребывания.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7D39AB" w:rsidRPr="006E1F3D" w:rsidRDefault="007D39AB" w:rsidP="00ED2D37">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w:t>
      </w:r>
      <w:r w:rsidRPr="006E1F3D">
        <w:rPr>
          <w:rFonts w:ascii="Times New Roman" w:hAnsi="Times New Roman"/>
          <w:spacing w:val="-1"/>
          <w:sz w:val="28"/>
          <w:szCs w:val="28"/>
        </w:rPr>
        <w:t xml:space="preserve">Доля детей в возрасте от 1 до 6 лет, получающих услугу дошкольного образования, в 2015 году составила 45,80 %.  В 2014 году данный показатель составлял  53,97 %. Уменьшение   связано с ростом численности зарегистрированных на территории детей в возрасте от 1 до 6 лет до 779 на </w:t>
      </w:r>
      <w:r w:rsidRPr="006E1F3D">
        <w:rPr>
          <w:rFonts w:ascii="Times New Roman" w:hAnsi="Times New Roman"/>
          <w:sz w:val="28"/>
          <w:szCs w:val="28"/>
        </w:rPr>
        <w:t xml:space="preserve">1 января 2016 года.  На 01 января 2015 года количество детей данной возрастной категории   составило 643. </w:t>
      </w:r>
    </w:p>
    <w:p w:rsidR="007D39AB" w:rsidRPr="006E1F3D" w:rsidRDefault="007D39AB" w:rsidP="006E1F3D">
      <w:pPr>
        <w:shd w:val="clear" w:color="auto" w:fill="FFFFFF"/>
        <w:autoSpaceDE w:val="0"/>
        <w:autoSpaceDN w:val="0"/>
        <w:adjustRightInd w:val="0"/>
        <w:spacing w:before="317" w:after="100" w:line="240" w:lineRule="auto"/>
        <w:ind w:firstLine="567"/>
        <w:jc w:val="both"/>
        <w:rPr>
          <w:rFonts w:ascii="Times New Roman" w:hAnsi="Times New Roman"/>
          <w:sz w:val="28"/>
          <w:szCs w:val="28"/>
        </w:rPr>
      </w:pPr>
      <w:r w:rsidRPr="006E1F3D">
        <w:rPr>
          <w:rFonts w:ascii="Times New Roman" w:hAnsi="Times New Roman"/>
          <w:sz w:val="28"/>
          <w:szCs w:val="28"/>
        </w:rPr>
        <w:t>На 01 января 2015 года создано 25 дополнительных мест для детей дошкольного возраста. Функционирование 1 группы полного дня на 10 мест  МКОУ «Бобровская ООШ» организовано с 01 октября 2015 года.  Ввод в действие 1 дополнительной  группы в МКДОУ Кытатский детский сад «Радуга» на 15 мест состоялся 01 июня 2015 года.  До 01 октября 2016 года планируется ввод нового детского сада в с. Большой Улуй вместимостью 95 мест.  Вследствие этого увеличится  общее количество мест  в группах полного дня дошкольных образовательных организаций до 387, в результате этого  доля обеспеченности  услугой дошкольного образования детей в возрасте от 1 года до 6 лет  в 2017, 2018 годах составит 58,02%.</w:t>
      </w:r>
    </w:p>
    <w:p w:rsidR="007D39AB" w:rsidRPr="006E1F3D" w:rsidRDefault="007D39AB" w:rsidP="00ED2D37">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7D39AB" w:rsidRPr="006E1F3D" w:rsidRDefault="007D39AB" w:rsidP="006E1F3D">
      <w:pPr>
        <w:autoSpaceDE w:val="0"/>
        <w:autoSpaceDN w:val="0"/>
        <w:adjustRightInd w:val="0"/>
        <w:spacing w:after="0" w:line="240" w:lineRule="atLeast"/>
        <w:ind w:firstLine="567"/>
        <w:jc w:val="both"/>
        <w:rPr>
          <w:rFonts w:ascii="Times New Roman" w:hAnsi="Times New Roman"/>
          <w:spacing w:val="-1"/>
          <w:sz w:val="28"/>
          <w:szCs w:val="28"/>
        </w:rPr>
      </w:pPr>
      <w:r w:rsidRPr="006E1F3D">
        <w:rPr>
          <w:rFonts w:ascii="Times New Roman" w:hAnsi="Times New Roman"/>
          <w:color w:val="FF0000"/>
          <w:spacing w:val="-1"/>
          <w:sz w:val="28"/>
          <w:szCs w:val="28"/>
        </w:rPr>
        <w:t xml:space="preserve"> </w:t>
      </w:r>
      <w:r w:rsidRPr="006E1F3D">
        <w:rPr>
          <w:rFonts w:ascii="Times New Roman" w:hAnsi="Times New Roman"/>
          <w:sz w:val="28"/>
          <w:szCs w:val="28"/>
        </w:rPr>
        <w:t xml:space="preserve">На 01.01.2016 года все нуждающиеся </w:t>
      </w:r>
      <w:r w:rsidRPr="006E1F3D">
        <w:rPr>
          <w:rFonts w:ascii="Times New Roman" w:hAnsi="Times New Roman"/>
          <w:spacing w:val="-1"/>
          <w:sz w:val="28"/>
          <w:szCs w:val="28"/>
        </w:rPr>
        <w:t>в предоставлении места в 2015 году</w:t>
      </w:r>
      <w:r w:rsidRPr="006E1F3D">
        <w:rPr>
          <w:rFonts w:ascii="Times New Roman" w:hAnsi="Times New Roman"/>
          <w:sz w:val="28"/>
          <w:szCs w:val="28"/>
        </w:rPr>
        <w:t xml:space="preserve"> обеспечены  местами в дошкольных образовательных организациях, из них  за счет  выпуска текущего года – 87, за счет   введенных в действие дополнительных мест – 25. Следовательно,  </w:t>
      </w:r>
      <w:r w:rsidRPr="006E1F3D">
        <w:rPr>
          <w:rFonts w:ascii="Times New Roman" w:hAnsi="Times New Roman"/>
          <w:spacing w:val="-1"/>
          <w:sz w:val="28"/>
          <w:szCs w:val="28"/>
        </w:rPr>
        <w:t>в 2015 году всем детям, нуждающимся в предоставлении места в данном году, предоставлена услуга дошкольного образования, таким образом, актуальная очередность составила 0%. По  оценке на 2016 год и прогнозу на 2017,  2018 гг. актуальная  очередность детей в возрасте от 1 до 6 лет в дошкольные образовательные организации составит 0%. Сохранение данного показателя произойдет за счёт ввода 95  дополнительных мест во вновь построенном здании детского сада в с. Большой Улуй в 2016 году.</w:t>
      </w:r>
    </w:p>
    <w:p w:rsidR="007D39AB" w:rsidRPr="006E1F3D" w:rsidRDefault="007D39AB" w:rsidP="006E1F3D">
      <w:pPr>
        <w:autoSpaceDE w:val="0"/>
        <w:autoSpaceDN w:val="0"/>
        <w:adjustRightInd w:val="0"/>
        <w:spacing w:after="0" w:line="240" w:lineRule="atLeast"/>
        <w:ind w:firstLine="567"/>
        <w:jc w:val="both"/>
        <w:rPr>
          <w:rFonts w:ascii="Times New Roman" w:hAnsi="Times New Roman"/>
          <w:sz w:val="28"/>
          <w:szCs w:val="28"/>
        </w:rPr>
      </w:pPr>
      <w:r w:rsidRPr="006E1F3D">
        <w:rPr>
          <w:rFonts w:ascii="Times New Roman" w:hAnsi="Times New Roman"/>
          <w:spacing w:val="-1"/>
          <w:sz w:val="28"/>
          <w:szCs w:val="28"/>
        </w:rPr>
        <w:t xml:space="preserve"> В 2015 году из краевого бюджета была выделена субсидия на строительство и реконструкцию зданий дошкольных образовательных учреждений  по разработанной проектно-сметной д</w:t>
      </w:r>
      <w:r>
        <w:rPr>
          <w:rFonts w:ascii="Times New Roman" w:hAnsi="Times New Roman"/>
          <w:spacing w:val="-1"/>
          <w:sz w:val="28"/>
          <w:szCs w:val="28"/>
        </w:rPr>
        <w:t>окументации в размере 83 271,8</w:t>
      </w:r>
      <w:r w:rsidRPr="006E1F3D">
        <w:rPr>
          <w:rFonts w:ascii="Times New Roman" w:hAnsi="Times New Roman"/>
          <w:spacing w:val="-1"/>
          <w:sz w:val="28"/>
          <w:szCs w:val="28"/>
        </w:rPr>
        <w:t xml:space="preserve"> тыс. рублей, софинансирование из местного бюджета -  656,652 тыс. рублей. Из них на конец года освоено 40 842,891 тыс. рублей из краевого бюджета, 233,095 тыс. рублей - софинасирование из местного бюджета. Кроме того, на открытие группы полного дня для детей дошкольного возраста МКОУ «Бобровская ООШ» из местного бюджета выделено дополнительно 115</w:t>
      </w:r>
      <w:r>
        <w:rPr>
          <w:rFonts w:ascii="Times New Roman" w:hAnsi="Times New Roman"/>
          <w:spacing w:val="-1"/>
          <w:sz w:val="28"/>
          <w:szCs w:val="28"/>
        </w:rPr>
        <w:t>,7 тыс.</w:t>
      </w:r>
      <w:r w:rsidRPr="006E1F3D">
        <w:rPr>
          <w:rFonts w:ascii="Times New Roman" w:hAnsi="Times New Roman"/>
          <w:spacing w:val="-1"/>
          <w:sz w:val="28"/>
          <w:szCs w:val="28"/>
        </w:rPr>
        <w:t>рублей, МКДОУ «Кытатский детский сад «Радуга» на открытие второй группы – 213</w:t>
      </w:r>
      <w:r>
        <w:rPr>
          <w:rFonts w:ascii="Times New Roman" w:hAnsi="Times New Roman"/>
          <w:spacing w:val="-1"/>
          <w:sz w:val="28"/>
          <w:szCs w:val="28"/>
        </w:rPr>
        <w:t>,2 тыс.</w:t>
      </w:r>
      <w:r w:rsidRPr="006E1F3D">
        <w:rPr>
          <w:rFonts w:ascii="Times New Roman" w:hAnsi="Times New Roman"/>
          <w:spacing w:val="-1"/>
          <w:sz w:val="28"/>
          <w:szCs w:val="28"/>
        </w:rPr>
        <w:t xml:space="preserve"> рублей. </w:t>
      </w:r>
    </w:p>
    <w:p w:rsidR="007D39AB" w:rsidRPr="006E1F3D" w:rsidRDefault="007D39AB" w:rsidP="006E1F3D">
      <w:pPr>
        <w:autoSpaceDE w:val="0"/>
        <w:autoSpaceDN w:val="0"/>
        <w:adjustRightInd w:val="0"/>
        <w:spacing w:after="0" w:line="240" w:lineRule="atLeast"/>
        <w:ind w:firstLine="567"/>
        <w:jc w:val="both"/>
        <w:rPr>
          <w:rFonts w:ascii="Times New Roman" w:hAnsi="Times New Roman"/>
          <w:b/>
          <w:bCs/>
          <w:color w:val="000000"/>
          <w:sz w:val="28"/>
          <w:szCs w:val="28"/>
        </w:rPr>
      </w:pPr>
      <w:r w:rsidRPr="006E1F3D">
        <w:rPr>
          <w:rFonts w:ascii="Times New Roman" w:hAnsi="Times New Roman"/>
          <w:sz w:val="28"/>
          <w:szCs w:val="28"/>
        </w:rPr>
        <w:t xml:space="preserve">Администрацией Большеулуйского района планируется к 01.09.2016 года полностью сократить  очередность детей в возрасте от 1 до 6 лет в дошкольные образовательные учреждения за счет строительства и ввода в 2016 году  детского сада в селе Большой Улуй на 95 мест.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ED2D37">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pacing w:val="-1"/>
          <w:sz w:val="28"/>
          <w:szCs w:val="28"/>
        </w:rPr>
        <w:t xml:space="preserve"> </w:t>
      </w:r>
      <w:r w:rsidRPr="006E1F3D">
        <w:rPr>
          <w:rFonts w:ascii="Times New Roman" w:hAnsi="Times New Roman"/>
          <w:sz w:val="28"/>
          <w:szCs w:val="28"/>
        </w:rPr>
        <w:t xml:space="preserve">В районе нет муниципальных дошкольных образовательных учреждений, требующих капитального ремонта  или находящихся в  аварийном состоянии. </w:t>
      </w:r>
    </w:p>
    <w:p w:rsidR="007D39AB" w:rsidRPr="006E1F3D" w:rsidRDefault="007D39AB" w:rsidP="006E1F3D">
      <w:pPr>
        <w:autoSpaceDE w:val="0"/>
        <w:autoSpaceDN w:val="0"/>
        <w:adjustRightInd w:val="0"/>
        <w:spacing w:after="0" w:line="240" w:lineRule="atLeast"/>
        <w:ind w:firstLine="567"/>
        <w:jc w:val="both"/>
        <w:rPr>
          <w:rFonts w:ascii="Times New Roman" w:hAnsi="Times New Roman"/>
          <w:sz w:val="28"/>
          <w:szCs w:val="28"/>
        </w:rPr>
      </w:pPr>
      <w:r w:rsidRPr="006E1F3D">
        <w:rPr>
          <w:rFonts w:ascii="Times New Roman" w:hAnsi="Times New Roman"/>
          <w:sz w:val="28"/>
          <w:szCs w:val="28"/>
        </w:rPr>
        <w:t xml:space="preserve">Все детские дошкольные учреждения соответствуют санитарно-эпидемиологическим требованиям к устройству, содержанию и организации режима работы. </w:t>
      </w:r>
    </w:p>
    <w:p w:rsidR="007D39AB" w:rsidRPr="006E1F3D" w:rsidRDefault="007D39AB" w:rsidP="006E1F3D">
      <w:pPr>
        <w:autoSpaceDE w:val="0"/>
        <w:autoSpaceDN w:val="0"/>
        <w:adjustRightInd w:val="0"/>
        <w:spacing w:after="0" w:line="240" w:lineRule="atLeast"/>
        <w:ind w:firstLine="567"/>
        <w:jc w:val="both"/>
        <w:rPr>
          <w:rFonts w:ascii="Times New Roman" w:hAnsi="Times New Roman"/>
          <w:sz w:val="28"/>
          <w:szCs w:val="28"/>
        </w:rPr>
      </w:pPr>
      <w:r w:rsidRPr="006E1F3D">
        <w:rPr>
          <w:rFonts w:ascii="Times New Roman" w:hAnsi="Times New Roman"/>
          <w:sz w:val="28"/>
          <w:szCs w:val="28"/>
        </w:rPr>
        <w:t xml:space="preserve">С целью приведения условий в соответствие с требованиями санитарно-эпидемиологического  законодательства проведены ремонты в МКДОУ Новоеловский детский сад «Ягодка» на сумму 371,6 тыс. рублей (ремонт пищеблока)  и 85,0 тыс. рублей в МКОУ детский сад «Березка» п. Сосновый Бор (ремонт пищеблока, санитарных узлов).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lang w:val="en-US"/>
        </w:rPr>
        <w:t>III</w:t>
      </w:r>
      <w:r w:rsidRPr="006E1F3D">
        <w:rPr>
          <w:rFonts w:ascii="Times New Roman" w:hAnsi="Times New Roman"/>
          <w:b/>
          <w:bCs/>
          <w:color w:val="000000"/>
          <w:sz w:val="28"/>
          <w:szCs w:val="28"/>
        </w:rPr>
        <w:t>. Общее и дополнительное образование</w:t>
      </w:r>
    </w:p>
    <w:p w:rsidR="007D39AB" w:rsidRPr="006E1F3D" w:rsidRDefault="007D39AB" w:rsidP="006E1F3D">
      <w:pPr>
        <w:shd w:val="clear" w:color="auto" w:fill="FFFFFF"/>
        <w:autoSpaceDE w:val="0"/>
        <w:autoSpaceDN w:val="0"/>
        <w:adjustRightInd w:val="0"/>
        <w:spacing w:before="317" w:after="100" w:line="240" w:lineRule="auto"/>
        <w:ind w:firstLine="567"/>
        <w:jc w:val="both"/>
        <w:rPr>
          <w:rFonts w:ascii="Times New Roman" w:hAnsi="Times New Roman"/>
          <w:sz w:val="28"/>
          <w:szCs w:val="28"/>
        </w:rPr>
      </w:pPr>
      <w:r w:rsidRPr="006E1F3D">
        <w:rPr>
          <w:rFonts w:ascii="Times New Roman" w:hAnsi="Times New Roman"/>
          <w:spacing w:val="-2"/>
          <w:sz w:val="28"/>
          <w:szCs w:val="28"/>
        </w:rPr>
        <w:t xml:space="preserve">В 2015 году в Большеулуйском районе система общего и дополнительного образования представлена 7 средними </w:t>
      </w:r>
      <w:r w:rsidRPr="006E1F3D">
        <w:rPr>
          <w:rFonts w:ascii="Times New Roman" w:hAnsi="Times New Roman"/>
          <w:sz w:val="28"/>
          <w:szCs w:val="28"/>
        </w:rPr>
        <w:t>общеобразовательными школами, 3 основными общеобразовательными, 1 начальной общеобразовательной, 1 филиалом.  Кроме того, при МБОУ «Большеулуйская СОШ» действует   Учебно-консультационный пункт для 10-11(12) классов. В Большеулуйском районе 2 учреждения дополнительного образования, не находящиеся в ведении отдела образования администрации Большеулуйского района.</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12. Доля выпускников муниципальных общеобразовательных учреждений,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color w:val="000000"/>
          <w:spacing w:val="-1"/>
          <w:sz w:val="28"/>
          <w:szCs w:val="28"/>
        </w:rPr>
      </w:pPr>
      <w:r w:rsidRPr="006E1F3D">
        <w:rPr>
          <w:rFonts w:ascii="Times New Roman" w:hAnsi="Times New Roman"/>
          <w:spacing w:val="-1"/>
          <w:sz w:val="28"/>
          <w:szCs w:val="28"/>
        </w:rPr>
        <w:t xml:space="preserve">        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   в 2014 году  составила 94,59 % (2 выпускника из 37 не сдали ЕГЭ по русскому языку и математике). </w:t>
      </w:r>
      <w:r w:rsidRPr="006E1F3D">
        <w:rPr>
          <w:rFonts w:ascii="Times New Roman" w:hAnsi="Times New Roman"/>
          <w:color w:val="000000"/>
          <w:spacing w:val="-1"/>
          <w:sz w:val="28"/>
          <w:szCs w:val="28"/>
        </w:rPr>
        <w:t xml:space="preserve">В  2015 году  показатель составил 90,38% (5 выпускников из 52); в 2016 году планируется данный показатель определить из расчёта 1 выпускник из 31 ч. (96,8%) в 2017 г. не более 1 выпускника из 36 ч. (97,2%) и в 2018 г. – 1 выпускник из 43 ч. (97,7%).  </w:t>
      </w:r>
    </w:p>
    <w:p w:rsidR="007D39AB" w:rsidRDefault="007D39AB" w:rsidP="006E1F3D">
      <w:pPr>
        <w:shd w:val="clear" w:color="auto" w:fill="FFFFFF"/>
        <w:autoSpaceDE w:val="0"/>
        <w:autoSpaceDN w:val="0"/>
        <w:adjustRightInd w:val="0"/>
        <w:spacing w:before="317" w:after="100" w:line="240" w:lineRule="auto"/>
        <w:ind w:firstLine="567"/>
        <w:jc w:val="both"/>
        <w:rPr>
          <w:rFonts w:ascii="Times New Roman" w:hAnsi="Times New Roman"/>
          <w:b/>
          <w:bCs/>
          <w:color w:val="000000"/>
          <w:sz w:val="28"/>
          <w:szCs w:val="28"/>
        </w:rPr>
      </w:pPr>
      <w:r w:rsidRPr="006E1F3D">
        <w:rPr>
          <w:rFonts w:ascii="Times New Roman" w:hAnsi="Times New Roman"/>
          <w:spacing w:val="-1"/>
          <w:sz w:val="28"/>
          <w:szCs w:val="28"/>
        </w:rPr>
        <w:t xml:space="preserve"> </w:t>
      </w:r>
      <w:r w:rsidRPr="006E1F3D">
        <w:rPr>
          <w:rFonts w:ascii="Times New Roman" w:hAnsi="Times New Roman"/>
          <w:sz w:val="28"/>
          <w:szCs w:val="28"/>
        </w:rPr>
        <w:t xml:space="preserve">  </w:t>
      </w:r>
      <w:r w:rsidRPr="006E1F3D">
        <w:rPr>
          <w:rFonts w:ascii="Times New Roman" w:hAnsi="Times New Roman"/>
          <w:b/>
          <w:bCs/>
          <w:color w:val="000000"/>
          <w:sz w:val="28"/>
          <w:szCs w:val="28"/>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7D39AB" w:rsidRPr="006E1F3D" w:rsidRDefault="007D39AB" w:rsidP="006E1F3D">
      <w:pPr>
        <w:shd w:val="clear" w:color="auto" w:fill="FFFFFF"/>
        <w:autoSpaceDE w:val="0"/>
        <w:autoSpaceDN w:val="0"/>
        <w:adjustRightInd w:val="0"/>
        <w:spacing w:before="317" w:after="100" w:line="240" w:lineRule="auto"/>
        <w:ind w:firstLine="567"/>
        <w:jc w:val="both"/>
        <w:rPr>
          <w:rFonts w:ascii="Times New Roman" w:hAnsi="Times New Roman"/>
          <w:spacing w:val="-1"/>
          <w:sz w:val="28"/>
          <w:szCs w:val="28"/>
        </w:rPr>
      </w:pPr>
      <w:r w:rsidRPr="006E1F3D">
        <w:rPr>
          <w:rFonts w:ascii="Times New Roman" w:hAnsi="Times New Roman"/>
          <w:spacing w:val="-1"/>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в 2015 г. – 9,62%; в 2016 г. – 3,2%; в 2017 г. - 2,8% и в 2018 г. – 2,3%.</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7D39AB" w:rsidRDefault="007D39AB" w:rsidP="006E1F3D">
      <w:pPr>
        <w:widowControl w:val="0"/>
        <w:autoSpaceDE w:val="0"/>
        <w:autoSpaceDN w:val="0"/>
        <w:adjustRightInd w:val="0"/>
        <w:spacing w:after="0" w:line="240" w:lineRule="auto"/>
        <w:ind w:firstLine="567"/>
        <w:jc w:val="both"/>
        <w:rPr>
          <w:rFonts w:ascii="Times New Roman" w:hAnsi="Times New Roman"/>
          <w:spacing w:val="-1"/>
          <w:sz w:val="28"/>
          <w:szCs w:val="28"/>
        </w:rPr>
      </w:pPr>
      <w:r w:rsidRPr="006E1F3D">
        <w:rPr>
          <w:rFonts w:ascii="Times New Roman" w:hAnsi="Times New Roman"/>
          <w:spacing w:val="-1"/>
          <w:sz w:val="28"/>
          <w:szCs w:val="28"/>
        </w:rPr>
        <w:t>Согласно новой методике расчёта данного по</w:t>
      </w:r>
      <w:r>
        <w:rPr>
          <w:rFonts w:ascii="Times New Roman" w:hAnsi="Times New Roman"/>
          <w:spacing w:val="-1"/>
          <w:sz w:val="28"/>
          <w:szCs w:val="28"/>
        </w:rPr>
        <w:t xml:space="preserve">казателя, утверждённой   в 2014 </w:t>
      </w:r>
      <w:r w:rsidRPr="006E1F3D">
        <w:rPr>
          <w:rFonts w:ascii="Times New Roman" w:hAnsi="Times New Roman"/>
          <w:spacing w:val="-1"/>
          <w:sz w:val="28"/>
          <w:szCs w:val="28"/>
        </w:rPr>
        <w:t xml:space="preserve">г., 80,56% общеобразовательных учреждений района соответствуют современным требованиям обучения, в общем количестве учреждений Большеулуйского района. В 2015 г.  показатель составил 81,05%. В 2016 г. планируется увеличения показателя до 81,16%; в 2017  и 2018 годах - до 81,87%.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spacing w:val="-1"/>
          <w:sz w:val="28"/>
          <w:szCs w:val="28"/>
        </w:rPr>
      </w:pPr>
      <w:r w:rsidRPr="006E1F3D">
        <w:rPr>
          <w:rFonts w:ascii="Times New Roman" w:hAnsi="Times New Roman"/>
          <w:spacing w:val="-1"/>
          <w:sz w:val="28"/>
          <w:szCs w:val="28"/>
        </w:rPr>
        <w:t xml:space="preserve">С целью создания условий для обучения детей с ограниченными возможностями здоровья в школах в 2015 году выделена субсидия на проведение мероприятий по формированию сети общеобразовательных организаций, в которых созданы условия для инклюзивного образования детей-инвалидов в рамках подпрограммы «Развитие дошкольного, общего образования детей» государственной программы Красноярского края «Развитие образования» в размере 694,0 тыс. рублей и 20,0 тыс. рублей из местного бюджета МБОУ «Большеулуйская СОШ».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7D39AB" w:rsidRPr="006E1F3D" w:rsidRDefault="007D39AB" w:rsidP="006E1F3D">
      <w:pPr>
        <w:autoSpaceDE w:val="0"/>
        <w:autoSpaceDN w:val="0"/>
        <w:adjustRightInd w:val="0"/>
        <w:spacing w:after="0" w:line="240" w:lineRule="atLeast"/>
        <w:ind w:firstLine="567"/>
        <w:jc w:val="both"/>
        <w:rPr>
          <w:rFonts w:ascii="Times New Roman" w:hAnsi="Times New Roman"/>
          <w:sz w:val="28"/>
          <w:szCs w:val="28"/>
        </w:rPr>
      </w:pPr>
      <w:r w:rsidRPr="006E1F3D">
        <w:rPr>
          <w:rFonts w:ascii="Times New Roman" w:hAnsi="Times New Roman"/>
          <w:spacing w:val="-1"/>
          <w:sz w:val="28"/>
          <w:szCs w:val="28"/>
        </w:rPr>
        <w:t xml:space="preserve"> </w:t>
      </w:r>
      <w:r w:rsidRPr="006E1F3D">
        <w:rPr>
          <w:rFonts w:ascii="Times New Roman" w:hAnsi="Times New Roman"/>
          <w:sz w:val="28"/>
          <w:szCs w:val="28"/>
        </w:rPr>
        <w:t xml:space="preserve">В районе нет образовательных учреждений, требующих капитального ремонта  или находящихся в  аварийном состоянии. </w:t>
      </w:r>
    </w:p>
    <w:p w:rsidR="007D39AB" w:rsidRDefault="007D39AB" w:rsidP="006E1F3D">
      <w:pPr>
        <w:autoSpaceDE w:val="0"/>
        <w:autoSpaceDN w:val="0"/>
        <w:adjustRightInd w:val="0"/>
        <w:spacing w:after="0" w:line="240" w:lineRule="atLeast"/>
        <w:ind w:firstLine="567"/>
        <w:jc w:val="both"/>
        <w:rPr>
          <w:rFonts w:ascii="Times New Roman" w:hAnsi="Times New Roman"/>
          <w:sz w:val="28"/>
          <w:szCs w:val="28"/>
        </w:rPr>
      </w:pPr>
      <w:r w:rsidRPr="006E1F3D">
        <w:rPr>
          <w:rFonts w:ascii="Times New Roman" w:hAnsi="Times New Roman"/>
          <w:sz w:val="28"/>
          <w:szCs w:val="28"/>
        </w:rPr>
        <w:t xml:space="preserve">С  целью поддержания зданий общеобразовательных учреждений в нормальном техническом состоянии Администрацией района проводится большая работа. Так, в 2015 году в рамках Государственной программы «Содействие органам местного самоуправления» выделено и освоено 1 023,4 </w:t>
      </w:r>
      <w:r>
        <w:rPr>
          <w:rFonts w:ascii="Times New Roman" w:hAnsi="Times New Roman"/>
          <w:sz w:val="28"/>
          <w:szCs w:val="28"/>
        </w:rPr>
        <w:t xml:space="preserve">тыс. </w:t>
      </w:r>
      <w:r w:rsidRPr="006E1F3D">
        <w:rPr>
          <w:rFonts w:ascii="Times New Roman" w:hAnsi="Times New Roman"/>
          <w:sz w:val="28"/>
          <w:szCs w:val="28"/>
        </w:rPr>
        <w:t>рублей на ремонт кровли МБОУ «Большеулуйская СОШ», софинасирование из местного бюджета составило 10,3 тыс.  рублей. Кроме того, на подготовку образовательных учреждений для проведения текущего ремонта из местного бюджета выделено 350,0 тыс. рублей.   С целью подготовки учреждений образования к отопительному сезону  приобретен котел в МКОУ «Кытатская СОШ» на сумму 635, 239 тыс. рублей,  на ремонт  теплотрассы в МКОУ «Бобровская ООШ» и на приобретение котла израсходовано 650,835 тыс.</w:t>
      </w:r>
      <w:r>
        <w:rPr>
          <w:rFonts w:ascii="Times New Roman" w:hAnsi="Times New Roman"/>
          <w:sz w:val="28"/>
          <w:szCs w:val="28"/>
        </w:rPr>
        <w:t xml:space="preserve"> </w:t>
      </w:r>
      <w:r w:rsidRPr="006E1F3D">
        <w:rPr>
          <w:rFonts w:ascii="Times New Roman" w:hAnsi="Times New Roman"/>
          <w:sz w:val="28"/>
          <w:szCs w:val="28"/>
        </w:rPr>
        <w:t>руб.</w:t>
      </w:r>
    </w:p>
    <w:p w:rsidR="007D39AB" w:rsidRPr="006E1F3D" w:rsidRDefault="007D39AB" w:rsidP="00ED2D37">
      <w:pPr>
        <w:autoSpaceDE w:val="0"/>
        <w:autoSpaceDN w:val="0"/>
        <w:adjustRightInd w:val="0"/>
        <w:spacing w:after="0" w:line="240" w:lineRule="atLeast"/>
        <w:ind w:firstLine="567"/>
        <w:jc w:val="both"/>
        <w:rPr>
          <w:rFonts w:ascii="Times New Roman" w:hAnsi="Times New Roman"/>
          <w:sz w:val="28"/>
          <w:szCs w:val="28"/>
        </w:rPr>
      </w:pPr>
    </w:p>
    <w:p w:rsidR="007D39AB" w:rsidRPr="006E1F3D" w:rsidRDefault="007D39AB" w:rsidP="00ED2D37">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16. Доля детей первой и второй групп здоровья в общей численности обучающихся в муниципальных общеобразовательных учреждениях</w:t>
      </w:r>
    </w:p>
    <w:p w:rsidR="007D39AB" w:rsidRPr="006E1F3D" w:rsidRDefault="007D39AB" w:rsidP="00ED2D37">
      <w:pPr>
        <w:shd w:val="clear" w:color="auto" w:fill="FFFFFF"/>
        <w:autoSpaceDE w:val="0"/>
        <w:autoSpaceDN w:val="0"/>
        <w:adjustRightInd w:val="0"/>
        <w:spacing w:before="317" w:after="100" w:line="240" w:lineRule="auto"/>
        <w:ind w:firstLine="567"/>
        <w:jc w:val="both"/>
        <w:rPr>
          <w:rFonts w:ascii="Times New Roman" w:hAnsi="Times New Roman"/>
          <w:sz w:val="28"/>
          <w:szCs w:val="28"/>
        </w:rPr>
      </w:pPr>
      <w:r w:rsidRPr="006E1F3D">
        <w:rPr>
          <w:rFonts w:ascii="Times New Roman" w:hAnsi="Times New Roman"/>
          <w:spacing w:val="-1"/>
          <w:sz w:val="28"/>
          <w:szCs w:val="28"/>
        </w:rPr>
        <w:t xml:space="preserve"> </w:t>
      </w:r>
      <w:r w:rsidRPr="006E1F3D">
        <w:rPr>
          <w:rFonts w:ascii="Times New Roman" w:hAnsi="Times New Roman"/>
          <w:sz w:val="28"/>
          <w:szCs w:val="28"/>
        </w:rPr>
        <w:t xml:space="preserve">К детям первой и второй групп здоровья относятся дети полностью здоровые и дети с функциональными изменениями здоровья. </w:t>
      </w:r>
    </w:p>
    <w:p w:rsidR="007D39AB" w:rsidRPr="006E1F3D" w:rsidRDefault="007D39AB" w:rsidP="006E1F3D">
      <w:pPr>
        <w:autoSpaceDE w:val="0"/>
        <w:autoSpaceDN w:val="0"/>
        <w:adjustRightInd w:val="0"/>
        <w:spacing w:after="0" w:line="240" w:lineRule="auto"/>
        <w:ind w:firstLine="567"/>
        <w:jc w:val="both"/>
        <w:rPr>
          <w:rFonts w:ascii="Times New Roman" w:hAnsi="Times New Roman"/>
          <w:spacing w:val="-1"/>
          <w:sz w:val="28"/>
          <w:szCs w:val="28"/>
        </w:rPr>
      </w:pPr>
      <w:r w:rsidRPr="006E1F3D">
        <w:rPr>
          <w:rFonts w:ascii="Times New Roman" w:hAnsi="Times New Roman"/>
          <w:spacing w:val="-1"/>
          <w:sz w:val="28"/>
          <w:szCs w:val="28"/>
        </w:rPr>
        <w:t>Доля детей первой и второй групп здоровья в общей численности обучающихся в муниципальных общеобразовательных учреждений в 2014 году составила 85,16%.;  в 2015 г. - 85,23%. Прогнозные показатели на 2016-2018 гг. предполагают увеличение доли детей первой и второй групп здоровья в общей численности обучающихся в муниципальных общеобразовательных учреждений: в 2016 г. (85,31%); в 2017 г. (86,04%) и в 2018 г. – 86,15% за счет увеличения общего количества детей в ОУ района.</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FF"/>
          <w:sz w:val="28"/>
          <w:szCs w:val="28"/>
        </w:rPr>
      </w:pPr>
      <w:r w:rsidRPr="006E1F3D">
        <w:rPr>
          <w:rFonts w:ascii="Times New Roman" w:hAnsi="Times New Roman"/>
          <w:sz w:val="28"/>
          <w:szCs w:val="28"/>
        </w:rPr>
        <w:t>Кроме того, увеличение показателя происходит  за счет следующих мероприятий:</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профилактики,  предупреждения заболеваний;</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выздоровления детей - переход из 3-4  групп в 1-2 группу;</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организации ежемесячного приема учащихся школ (в последнюю неделю каждого месяца) врачами стоматологами.</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В МБУЗ «Большеулуйская ЦРБ» работает детское отделение на 8 коек. В поликлинике прием детей ведут два врача педиатра.</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В каждом учебном учреждении района есть постоянный или приходящий медицинский работник.</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Большую роль в улучшении здоровья школьников играет профилактика. В течение года неоднократно проводятся осмотры учащихся, вакцинация детей, а также санация полости рта детей врачами-стоматологами.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Немаловажную роль в сохранении здоровья школьников играет организация  горячего питания,  во всех школах района питание организовано в школьных столовых. Организовано бесплатное питание (за счет средств краевого бюджета) для детей с ограниченными возможностями здоровья, детей из семей, находящихся в социально-опасном положении, детей из малообеспеченных семей. Кроме </w:t>
      </w:r>
      <w:r>
        <w:rPr>
          <w:rFonts w:ascii="Times New Roman" w:hAnsi="Times New Roman"/>
          <w:sz w:val="28"/>
          <w:szCs w:val="28"/>
        </w:rPr>
        <w:t>того, организовано бесплатное двух</w:t>
      </w:r>
      <w:r w:rsidRPr="006E1F3D">
        <w:rPr>
          <w:rFonts w:ascii="Times New Roman" w:hAnsi="Times New Roman"/>
          <w:sz w:val="28"/>
          <w:szCs w:val="28"/>
        </w:rPr>
        <w:t xml:space="preserve">разовое горячее питание для детей с ограниченными возможностями здоровья и детей, находящихся на ежедневном подвозе. </w:t>
      </w:r>
    </w:p>
    <w:p w:rsidR="007D39AB"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Организация оздоровления детей является одной из функций системы образования.  Так, в 2015 году  697 детей оздоровлены в летних оздоровительных лагерях при общеобразовательных учреждениях Большеулуйского района (далее – ЛОЛ), 40 детей отдохнули в загородных оздоровительных лагерях Красноярского  края. На организацию  питания в ЛОЛ выделено и израсходовано 1 439,498 тыс.рублей из краевого бюджета, софинансирование местного бюджета составило 15, 4 тыс. рублей. Для приобретения путевок в загородные оздоровительные лагеря  направлено 392,8 тыс. рублей из краевого бюджета и 168,3 тыс. рублей из местного бюджета.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7D39AB" w:rsidRDefault="007D39AB" w:rsidP="006E1F3D">
      <w:pPr>
        <w:autoSpaceDE w:val="0"/>
        <w:autoSpaceDN w:val="0"/>
        <w:adjustRightInd w:val="0"/>
        <w:spacing w:after="0" w:line="240" w:lineRule="auto"/>
        <w:ind w:firstLine="567"/>
        <w:jc w:val="both"/>
        <w:rPr>
          <w:rFonts w:ascii="Times New Roman" w:hAnsi="Times New Roman"/>
          <w:color w:val="0000FF"/>
          <w:sz w:val="28"/>
          <w:szCs w:val="28"/>
        </w:rPr>
      </w:pPr>
      <w:r w:rsidRPr="006E1F3D">
        <w:rPr>
          <w:rFonts w:ascii="Times New Roman" w:hAnsi="Times New Roman"/>
          <w:spacing w:val="-1"/>
          <w:sz w:val="28"/>
          <w:szCs w:val="28"/>
        </w:rPr>
        <w:t xml:space="preserve"> Занятия в общеобразовательных учреждениях Большеулуйского района во вторую и третью смены не проводятся:</w:t>
      </w:r>
      <w:r w:rsidRPr="006E1F3D">
        <w:rPr>
          <w:rFonts w:ascii="Times New Roman" w:hAnsi="Times New Roman"/>
          <w:sz w:val="28"/>
          <w:szCs w:val="28"/>
        </w:rPr>
        <w:t xml:space="preserve"> 100%  обучающихся занимаются в первую смену.</w:t>
      </w:r>
      <w:r w:rsidRPr="006E1F3D">
        <w:rPr>
          <w:rFonts w:ascii="Times New Roman" w:hAnsi="Times New Roman"/>
          <w:color w:val="0000FF"/>
          <w:sz w:val="28"/>
          <w:szCs w:val="28"/>
        </w:rPr>
        <w:t xml:space="preserve"> </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FF"/>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7D39AB" w:rsidRPr="006E1F3D" w:rsidRDefault="007D39AB" w:rsidP="006E1F3D">
      <w:pPr>
        <w:shd w:val="clear" w:color="auto" w:fill="FFFFFF"/>
        <w:autoSpaceDE w:val="0"/>
        <w:autoSpaceDN w:val="0"/>
        <w:adjustRightInd w:val="0"/>
        <w:spacing w:before="317" w:after="100" w:line="240" w:lineRule="auto"/>
        <w:ind w:firstLine="567"/>
        <w:jc w:val="both"/>
        <w:rPr>
          <w:rFonts w:ascii="Times New Roman" w:hAnsi="Times New Roman"/>
          <w:spacing w:val="-1"/>
          <w:sz w:val="28"/>
          <w:szCs w:val="28"/>
        </w:rPr>
      </w:pPr>
      <w:r w:rsidRPr="006E1F3D">
        <w:rPr>
          <w:rFonts w:ascii="Times New Roman" w:hAnsi="Times New Roman"/>
          <w:spacing w:val="-1"/>
          <w:sz w:val="28"/>
          <w:szCs w:val="28"/>
        </w:rPr>
        <w:t xml:space="preserve"> В течение ряда лет стабильно растет показатель "Расходы бюджета муниципального образования на общее образование в расчёте на 1 обучающего в </w:t>
      </w:r>
      <w:r w:rsidRPr="006E1F3D">
        <w:rPr>
          <w:rFonts w:ascii="Times New Roman" w:hAnsi="Times New Roman"/>
          <w:spacing w:val="-2"/>
          <w:sz w:val="28"/>
          <w:szCs w:val="28"/>
        </w:rPr>
        <w:t>муниципальных общеобразовательных учреждениях</w:t>
      </w:r>
      <w:r w:rsidRPr="006E1F3D">
        <w:rPr>
          <w:rFonts w:ascii="Times New Roman" w:hAnsi="Times New Roman"/>
          <w:spacing w:val="-1"/>
          <w:sz w:val="28"/>
          <w:szCs w:val="28"/>
        </w:rPr>
        <w:t>": в 2014 г. он составил 158,980 тыс.руб.; в 2015 г. -  168,150 тыс.руб. Также он будет увеличиваться в последующие годы: в 2016 г. - 191,871 тыс.руб.; в 2017 г. и  в 2018 г. прогнозируется увеличить данный показатель до 201,772 тыс.руб. соответственно.</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7D39AB" w:rsidRPr="006E1F3D" w:rsidRDefault="007D39AB" w:rsidP="006E1F3D">
      <w:pPr>
        <w:shd w:val="clear" w:color="auto" w:fill="FFFFFF"/>
        <w:autoSpaceDE w:val="0"/>
        <w:autoSpaceDN w:val="0"/>
        <w:adjustRightInd w:val="0"/>
        <w:spacing w:before="317" w:after="100" w:line="240" w:lineRule="auto"/>
        <w:ind w:firstLine="567"/>
        <w:jc w:val="both"/>
        <w:rPr>
          <w:rFonts w:ascii="Times New Roman" w:hAnsi="Times New Roman"/>
          <w:sz w:val="28"/>
          <w:szCs w:val="28"/>
        </w:rPr>
      </w:pPr>
      <w:r w:rsidRPr="006E1F3D">
        <w:rPr>
          <w:rFonts w:ascii="Times New Roman" w:hAnsi="Times New Roman"/>
          <w:sz w:val="28"/>
          <w:szCs w:val="28"/>
        </w:rPr>
        <w:t xml:space="preserve"> На территории района дополнительное образование детям оказывается двумя учреждениями МБОУ ДОД «Большеулуйская ДШИ» и МБОУ ДОД «ДЮСШ», на базе которых действует 19 объединений различной направленности. Кроме того, во всех общеобразовательных организациях реализуются программы дополнительного образования, через работу кружков и объединений дополнительного образования.</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z w:val="28"/>
          <w:szCs w:val="28"/>
        </w:rPr>
      </w:pPr>
      <w:r w:rsidRPr="006E1F3D">
        <w:rPr>
          <w:rFonts w:ascii="Times New Roman" w:hAnsi="Times New Roman"/>
          <w:color w:val="000000"/>
          <w:sz w:val="28"/>
          <w:szCs w:val="28"/>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муниципалитете составляла в 2014 году  99.06%; в 2015 г.  101,8%; увеличение показателя планируется  в 2016 г. до 101.85%; в 2017 и  в 2018 гг. - до 101.9%.   Процент охвата дополнительным образованием увеличился за счет реализации в образовательных учреждениях района новых программ дополнительного образования естественнонаучной направленности, туристско-краеведческой направленности, художественно-эстетической. Все дополнительные программы предлагаются учащимся по выбору, в соответствии с их  интересами, природными склонностями и способностями. </w:t>
      </w:r>
    </w:p>
    <w:p w:rsidR="007D39AB" w:rsidRPr="006E1F3D" w:rsidRDefault="007D39AB" w:rsidP="006E1F3D">
      <w:pPr>
        <w:tabs>
          <w:tab w:val="left" w:pos="720"/>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Одним из приоритетных направлений в работе школ является организация учебно-исследовательской деятельности обучающихся. В 2015 г. выросло количество участников районных и краевых научно-практических конференций, конкурсов. Имеются победители и лауреаты краевого и российского уровней: краевой конкурс сочинений «Славен человек трудом», «Мой Красноярский край», Всероссийский конкурс исследовательских краеведческих работ «Отечество», краевой творческий фестиваль «Таланты без границ», краевая акция «Зимняя планета детства», краевой конкурс исследовательских работ «Мое Красноярье», краевой дистанционный конкурс «Знатоки дорожных правил». В 2015 г. ученица МКОУ «Елгинская ООШ», пройдя отборочный тур, стала участницей III Международной олимпиады по татарскому языку и литературе в г. Казани.  МКОУ «Новоникольская ООШ» - победитель в рамках краевой грантовой программы «Социальное партнерство во  имя развития» с проектом "Памяти павших - во имя живых!".</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lang w:val="en-US"/>
        </w:rPr>
        <w:t>IV</w:t>
      </w:r>
      <w:r w:rsidRPr="006E1F3D">
        <w:rPr>
          <w:rFonts w:ascii="Times New Roman" w:hAnsi="Times New Roman"/>
          <w:b/>
          <w:bCs/>
          <w:color w:val="000000"/>
          <w:sz w:val="28"/>
          <w:szCs w:val="28"/>
        </w:rPr>
        <w:t>. Культура</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20. Уровень фактической обеспеченности учреждениями культуры от нормативной потребности:</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Сеть учреждений культуры Большеулуйского района состоит из 39 учреждений: 24 - клубного типа, 14 библиотек, Детской школы искусств. Данная сеть обслуживает все населенные пункты Большеулуйского района.   Уровень фактической обеспеченности учреждениями культуры  в Большеулуйском районе сохранен и останется на том же уровне на прогнозный период до 2018 года.</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клубами и учреждениями клубного типа</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Уровень фактической обеспеченности учреждениями клубного типа - 100% от нормативной потребности.</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библиотеками</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Уровень фактической обеспеченности библиотеками составляет  82,4 % от нормативной потребности. Потребность населения в библиотечном обслуживании выполняется, за счет обслуживания  библиотеками – передвижками  населенных пунктов, в которых отсутствуют библиотеки.</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парками культуры и отдыха</w:t>
      </w:r>
    </w:p>
    <w:p w:rsidR="007D39AB" w:rsidRPr="006E1F3D" w:rsidRDefault="007D39AB" w:rsidP="006E1F3D">
      <w:pPr>
        <w:autoSpaceDE w:val="0"/>
        <w:autoSpaceDN w:val="0"/>
        <w:adjustRightInd w:val="0"/>
        <w:spacing w:after="0" w:line="240" w:lineRule="auto"/>
        <w:ind w:firstLine="567"/>
        <w:rPr>
          <w:rFonts w:ascii="Times New Roman" w:hAnsi="Times New Roman"/>
          <w:spacing w:val="-6"/>
          <w:sz w:val="28"/>
          <w:szCs w:val="28"/>
        </w:rPr>
      </w:pPr>
      <w:r w:rsidRPr="006E1F3D">
        <w:rPr>
          <w:rFonts w:ascii="Times New Roman" w:hAnsi="Times New Roman"/>
          <w:spacing w:val="-6"/>
          <w:sz w:val="28"/>
          <w:szCs w:val="28"/>
        </w:rPr>
        <w:t xml:space="preserve">   Парков культуры и отдыха на территории района нет.</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EF3095">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На территории района отсутствуют здания учреждений культуры, находящиеся в аварийном состоянии. Требуют  капитального ремонта 3 учреждения (Большеулуйская районная библиотека, Березовский СДК, Кытатский СДК.</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EF3095">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На территории Большеулуйского района располагаются 23 объекта культурного наследия, из них 3 - федерального значения и 20 - регионального значения. Все объекты и прилегающие к ним территории находятся в удовлетворительном состоянии. Ежегодно силами сельсоветов и общеобразовательных учреждений проводятся текущие ремонты.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Доля объектов культурного наследия требующих консервации или реставрации составляет 1%.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lang w:val="en-US"/>
        </w:rPr>
        <w:t>V</w:t>
      </w:r>
      <w:r w:rsidRPr="006E1F3D">
        <w:rPr>
          <w:rFonts w:ascii="Times New Roman" w:hAnsi="Times New Roman"/>
          <w:b/>
          <w:bCs/>
          <w:color w:val="000000"/>
          <w:sz w:val="28"/>
          <w:szCs w:val="28"/>
        </w:rPr>
        <w:t>. Физическая культура и спорт</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pacing w:val="-3"/>
          <w:sz w:val="28"/>
          <w:szCs w:val="28"/>
        </w:rPr>
      </w:pPr>
      <w:r w:rsidRPr="006E1F3D">
        <w:rPr>
          <w:rFonts w:ascii="Times New Roman" w:hAnsi="Times New Roman"/>
          <w:color w:val="000000"/>
          <w:spacing w:val="-3"/>
          <w:sz w:val="28"/>
          <w:szCs w:val="28"/>
        </w:rPr>
        <w:t xml:space="preserve">На территории района расположено 25 спортивных сооружения, в их числе: 11 спортивных залов, 10 плоскостных сооружений. Так же на территории Большеулуйского района функционируют 4 физкультурно-спортивных клуба по месту жительства (2 в  с. Большой Улуй, 1 в с.Н-Еловка, 1 в с.Березовка) количество занимающихся в них в 2015 году составила  611 человека. </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pacing w:val="-3"/>
          <w:sz w:val="28"/>
          <w:szCs w:val="28"/>
        </w:rPr>
      </w:pPr>
      <w:r w:rsidRPr="006E1F3D">
        <w:rPr>
          <w:rFonts w:ascii="Times New Roman" w:hAnsi="Times New Roman"/>
          <w:color w:val="000000"/>
          <w:spacing w:val="-3"/>
          <w:sz w:val="28"/>
          <w:szCs w:val="28"/>
        </w:rPr>
        <w:t xml:space="preserve">  На территории района функционируют школьные физкультурно-спортивные клубы: «Вымпел» в с. Большой Улуй, «Орион» в с. Новая Еловка, «Надежда» в д. Сучково.</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pacing w:val="-3"/>
          <w:sz w:val="28"/>
          <w:szCs w:val="28"/>
        </w:rPr>
      </w:pPr>
      <w:r w:rsidRPr="006E1F3D">
        <w:rPr>
          <w:rFonts w:ascii="Times New Roman" w:hAnsi="Times New Roman"/>
          <w:color w:val="000000"/>
          <w:spacing w:val="-3"/>
          <w:sz w:val="28"/>
          <w:szCs w:val="28"/>
        </w:rPr>
        <w:t xml:space="preserve">В 2011 года, на базе спортивной площадки создано муниципальное бюджетное учреждение дополнительного образования детей "Большеулуйская детско-юношеская спортивная школа" с тремя отделениями: футбол, волейбол, лыжные гонки, с количеством занимающихся 237 человек. </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pacing w:val="-3"/>
          <w:sz w:val="28"/>
          <w:szCs w:val="28"/>
        </w:rPr>
      </w:pPr>
      <w:r w:rsidRPr="006E1F3D">
        <w:rPr>
          <w:rFonts w:ascii="Times New Roman" w:hAnsi="Times New Roman"/>
          <w:color w:val="000000"/>
          <w:spacing w:val="-3"/>
          <w:sz w:val="28"/>
          <w:szCs w:val="28"/>
        </w:rPr>
        <w:t xml:space="preserve">В 2015 году на выполнение подпрограммы «Развитие массовой физической культуры и спорта» было предусмотрено выделение денежных средств в сумме 190,4 тыс. рублей, фактически выделено 151,5 тыс. рублей.   </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pacing w:val="-3"/>
          <w:sz w:val="28"/>
          <w:szCs w:val="28"/>
        </w:rPr>
      </w:pPr>
      <w:r w:rsidRPr="006E1F3D">
        <w:rPr>
          <w:rFonts w:ascii="Times New Roman" w:hAnsi="Times New Roman"/>
          <w:color w:val="000000"/>
          <w:spacing w:val="-3"/>
          <w:sz w:val="28"/>
          <w:szCs w:val="28"/>
        </w:rPr>
        <w:t>На выполнение подпрограммы «Развитие системы подготовки спортивного резерва» МБУ ДО «Большеулуйская ДЮСШ» было  направлено 7424,7 тыс. рублей.</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pacing w:val="-3"/>
          <w:sz w:val="28"/>
          <w:szCs w:val="28"/>
        </w:rPr>
      </w:pPr>
      <w:r w:rsidRPr="006E1F3D">
        <w:rPr>
          <w:rFonts w:ascii="Times New Roman" w:hAnsi="Times New Roman"/>
          <w:color w:val="000000"/>
          <w:spacing w:val="-3"/>
          <w:sz w:val="28"/>
          <w:szCs w:val="28"/>
        </w:rPr>
        <w:t>В  2015 году было запланировано и проведено 112 спортивно-массовых мероприятий. Команды района принимали участие в краевых, зональных, финальных соревнованиях среди ветеранов спорта, в различных краевых турнирах, чемпионатах, первенствах, соревнованиях, межрайонных и товарищеских, показывая хорошие результаты для нашего района.</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pacing w:val="-3"/>
          <w:sz w:val="28"/>
          <w:szCs w:val="28"/>
        </w:rPr>
      </w:pPr>
      <w:r w:rsidRPr="006E1F3D">
        <w:rPr>
          <w:rFonts w:ascii="Times New Roman" w:hAnsi="Times New Roman"/>
          <w:color w:val="000000"/>
          <w:spacing w:val="-3"/>
          <w:sz w:val="28"/>
          <w:szCs w:val="28"/>
        </w:rPr>
        <w:t xml:space="preserve"> На территории района были проведены </w:t>
      </w:r>
      <w:r w:rsidRPr="006E1F3D">
        <w:rPr>
          <w:rFonts w:ascii="Times New Roman" w:hAnsi="Times New Roman"/>
          <w:color w:val="000000"/>
          <w:spacing w:val="-3"/>
          <w:sz w:val="28"/>
          <w:szCs w:val="28"/>
        </w:rPr>
        <w:tab/>
        <w:t>Всероссийские физкультурные мероприятия: Всероссийская массовая лыжная гонка «Лыжня России»; Всероссийский день бега «Кросс нации», Всероссийский День Физкультурника, Всероссийский день ходьбы.</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23. Доля населения, систематически занимающегося физической культурой и спортом</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pacing w:val="-3"/>
          <w:sz w:val="28"/>
          <w:szCs w:val="28"/>
        </w:rPr>
      </w:pPr>
      <w:r w:rsidRPr="006E1F3D">
        <w:rPr>
          <w:rFonts w:ascii="Times New Roman" w:hAnsi="Times New Roman"/>
          <w:sz w:val="28"/>
          <w:szCs w:val="28"/>
        </w:rPr>
        <w:t xml:space="preserve"> </w:t>
      </w:r>
      <w:r w:rsidRPr="006E1F3D">
        <w:rPr>
          <w:rFonts w:ascii="Times New Roman" w:hAnsi="Times New Roman"/>
          <w:color w:val="000000"/>
          <w:spacing w:val="-3"/>
          <w:sz w:val="28"/>
          <w:szCs w:val="28"/>
        </w:rPr>
        <w:t xml:space="preserve">Удельный вес систематически занимающихся  физической культурой и спортом в 2015 году составил –24,5% (в 2014 году - 23,6%). </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pacing w:val="-3"/>
          <w:sz w:val="28"/>
          <w:szCs w:val="28"/>
        </w:rPr>
      </w:pPr>
      <w:r w:rsidRPr="006E1F3D">
        <w:rPr>
          <w:rFonts w:ascii="Times New Roman" w:hAnsi="Times New Roman"/>
          <w:color w:val="000000"/>
          <w:spacing w:val="-3"/>
          <w:sz w:val="28"/>
          <w:szCs w:val="28"/>
        </w:rPr>
        <w:t>Рост доли населения, систематически занимающихся (показатель № 23) произошел в связи с целенаправленной работой, направленной на вовлечение как взрослого населения так и несовершеннолетних к занятием физической культуре и спорту всеми спортивными организациями, расположенными на территории Большеулуйского района.</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pacing w:val="-3"/>
          <w:sz w:val="28"/>
          <w:szCs w:val="28"/>
        </w:rPr>
      </w:pPr>
      <w:r w:rsidRPr="006E1F3D">
        <w:rPr>
          <w:rFonts w:ascii="Times New Roman" w:hAnsi="Times New Roman"/>
          <w:color w:val="000000"/>
          <w:spacing w:val="-3"/>
          <w:sz w:val="28"/>
          <w:szCs w:val="28"/>
        </w:rPr>
        <w:t>Удельный вес инвалидов, систематически занимающихся физической культурой и спортом, в 2015 году составил – 1,6% (в 2014 году - 1,6%). Количество жителей, систематически занимающихся физической культурой и спортом в районе в 2015 году составило – 1783 человека (в 2014 году -1632 чел.), в клубах по месту жительства  – 611 человек (в 2014 году - 556 чел.), по месту учебы в физкультурно-спортивных клубах  – 379 человек (в 2014 году - 378 чел.).</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23.1. Доля обучающихся, систематически занимающихся физической культурой и спортом, в общей численности обучающихся</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spacing w:val="-3"/>
          <w:sz w:val="28"/>
          <w:szCs w:val="28"/>
        </w:rPr>
      </w:pPr>
      <w:r w:rsidRPr="006E1F3D">
        <w:rPr>
          <w:rFonts w:ascii="Times New Roman" w:hAnsi="Times New Roman"/>
          <w:color w:val="000000"/>
          <w:spacing w:val="-3"/>
          <w:sz w:val="28"/>
          <w:szCs w:val="28"/>
        </w:rPr>
        <w:t>Доля обучающихся, систематически занимающихся физической культурой и спортом, в общей численности обучающихся в 2015 году составила 70,94 %, или 1311 человек.</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lang w:val="en-US"/>
        </w:rPr>
        <w:t>VI</w:t>
      </w:r>
      <w:r w:rsidRPr="006E1F3D">
        <w:rPr>
          <w:rFonts w:ascii="Times New Roman" w:hAnsi="Times New Roman"/>
          <w:b/>
          <w:bCs/>
          <w:color w:val="000000"/>
          <w:sz w:val="28"/>
          <w:szCs w:val="28"/>
        </w:rPr>
        <w:t>. Жилищное строительство и обеспечение граждан жильем</w:t>
      </w:r>
    </w:p>
    <w:p w:rsidR="007D39AB" w:rsidRPr="006E1F3D" w:rsidRDefault="007D39AB" w:rsidP="006E1F3D">
      <w:pPr>
        <w:tabs>
          <w:tab w:val="left" w:pos="720"/>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За отчетный 2015 год на территории Большеулуйского района при реализации различных программ и мероприятий по обеспечению жильем жителей  Большеулуйского района были достигнуты следующие результаты: </w:t>
      </w:r>
    </w:p>
    <w:p w:rsidR="007D39AB" w:rsidRPr="006E1F3D" w:rsidRDefault="007D39AB" w:rsidP="006E1F3D">
      <w:pPr>
        <w:tabs>
          <w:tab w:val="left" w:pos="720"/>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по подпрограмме «Обеспечение жильем молодых семей» муниципальной программы «Молодежь Большеулуйского района»  1 молодая семья получила свидетельство участника подпрограммы и  в 2015 году реализовали свое право. На эти цели использовано денежных средств  из трех  бюджетов в сумме  327,6 тыс. руб.;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 в рамках подпрограммы «Стимулирование жилищного строительства на территории  Большеулуйского района» муниципальной программы "Создание условий для обеспечения доступным и комфортным жильем граждан Большеулуйского района» на 2014-2016 годы  при помощи безвозмездных субсидий   построено  4 жилых дома  общей площадью  413,6 кв. м, что составляет  19,5 % от общей площади введенного индивидуального жилья в районе. 4 участника получили безвозмездные субсидии в размере 200 тыс. руб. на строительство жилых домов.</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24. Общая площадь жилых помещений, приходящаяся в среднем на одного жителя всего, в том числе введенная в действие за один год</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Общая площадь жилищного фонда в районе в 2015году составила 226,4 тыс. кв. м., в том числе, доля муниципального жилищного фонда – 5,5 %, частного жилья – 94,2 %, ведомственного жилья – 0,3 %. Общая площадь жилищного фонда всех форм собственности, приходящаяся на одного жителя в 2015 г. составила 29,3 кв.м. </w:t>
      </w:r>
    </w:p>
    <w:p w:rsidR="007D39AB" w:rsidRPr="006E1F3D" w:rsidRDefault="007D39AB" w:rsidP="006E1F3D">
      <w:pPr>
        <w:tabs>
          <w:tab w:val="left" w:pos="720"/>
        </w:tabs>
        <w:autoSpaceDE w:val="0"/>
        <w:autoSpaceDN w:val="0"/>
        <w:adjustRightInd w:val="0"/>
        <w:spacing w:line="240" w:lineRule="auto"/>
        <w:ind w:firstLine="567"/>
        <w:jc w:val="both"/>
        <w:rPr>
          <w:rFonts w:ascii="Times New Roman" w:hAnsi="Times New Roman"/>
          <w:sz w:val="28"/>
          <w:szCs w:val="28"/>
        </w:rPr>
      </w:pPr>
      <w:r w:rsidRPr="006E1F3D">
        <w:rPr>
          <w:rFonts w:ascii="Times New Roman" w:hAnsi="Times New Roman"/>
          <w:sz w:val="28"/>
          <w:szCs w:val="28"/>
        </w:rPr>
        <w:t xml:space="preserve">  На территории района в 2015 году было введено в эксплуатацию 24 индивидуальных жилых домов, площадью  2122,0  кв.м., что на  15,4 % больше чем в 2014 году (1839,6 кв.м.)</w:t>
      </w:r>
    </w:p>
    <w:p w:rsidR="007D39AB" w:rsidRPr="006E1F3D" w:rsidRDefault="007D39AB" w:rsidP="006E1F3D">
      <w:pPr>
        <w:autoSpaceDE w:val="0"/>
        <w:autoSpaceDN w:val="0"/>
        <w:adjustRightInd w:val="0"/>
        <w:spacing w:line="240" w:lineRule="auto"/>
        <w:ind w:firstLine="567"/>
        <w:jc w:val="both"/>
        <w:rPr>
          <w:rFonts w:ascii="Times New Roman" w:hAnsi="Times New Roman"/>
          <w:sz w:val="28"/>
          <w:szCs w:val="28"/>
        </w:rPr>
      </w:pPr>
      <w:r w:rsidRPr="006E1F3D">
        <w:rPr>
          <w:rFonts w:ascii="Times New Roman" w:hAnsi="Times New Roman"/>
          <w:sz w:val="28"/>
          <w:szCs w:val="28"/>
        </w:rPr>
        <w:t xml:space="preserve">В  2015 году на одного жителя района приходится 0,27 кв.м. общей площади жилья введенной за год. По оценке 2016г. ожидается ввести 1700 кв.м. жилых домов, по прогнозу на 2017 – 2018 годы по 1700 кв.м. </w:t>
      </w:r>
    </w:p>
    <w:p w:rsidR="007D39AB" w:rsidRDefault="007D39AB" w:rsidP="006E1F3D">
      <w:pPr>
        <w:tabs>
          <w:tab w:val="left" w:pos="720"/>
        </w:tabs>
        <w:autoSpaceDE w:val="0"/>
        <w:autoSpaceDN w:val="0"/>
        <w:adjustRightInd w:val="0"/>
        <w:spacing w:line="240" w:lineRule="auto"/>
        <w:ind w:firstLine="567"/>
        <w:jc w:val="both"/>
        <w:rPr>
          <w:rFonts w:ascii="Times New Roman" w:hAnsi="Times New Roman"/>
          <w:sz w:val="28"/>
          <w:szCs w:val="28"/>
        </w:rPr>
      </w:pPr>
      <w:r w:rsidRPr="006E1F3D">
        <w:rPr>
          <w:rFonts w:ascii="Times New Roman" w:hAnsi="Times New Roman"/>
          <w:color w:val="0000FF"/>
          <w:sz w:val="28"/>
          <w:szCs w:val="28"/>
        </w:rPr>
        <w:t xml:space="preserve">         </w:t>
      </w:r>
      <w:r w:rsidRPr="006E1F3D">
        <w:rPr>
          <w:rFonts w:ascii="Times New Roman" w:hAnsi="Times New Roman"/>
          <w:sz w:val="28"/>
          <w:szCs w:val="28"/>
        </w:rPr>
        <w:t xml:space="preserve">За отчетный 2015 год на территории Большеулуйского района было выдано 58 разрешений на индивидуальное жилищное строительство. По состоянию на 1 января 2016 года в районе имеется 412 индивидуальных жилых дома, незавершенные строительством. </w:t>
      </w:r>
    </w:p>
    <w:p w:rsidR="007D39AB" w:rsidRPr="006E1F3D" w:rsidRDefault="007D39AB" w:rsidP="006E1F3D">
      <w:pPr>
        <w:tabs>
          <w:tab w:val="left" w:pos="720"/>
        </w:tabs>
        <w:autoSpaceDE w:val="0"/>
        <w:autoSpaceDN w:val="0"/>
        <w:adjustRightInd w:val="0"/>
        <w:spacing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9"/>
        <w:gridCol w:w="1559"/>
        <w:gridCol w:w="1559"/>
        <w:gridCol w:w="1134"/>
        <w:gridCol w:w="1134"/>
        <w:gridCol w:w="1099"/>
      </w:tblGrid>
      <w:tr w:rsidR="007D39AB" w:rsidRPr="00EC7A54">
        <w:tc>
          <w:tcPr>
            <w:tcW w:w="9854" w:type="dxa"/>
            <w:gridSpan w:val="6"/>
            <w:tcBorders>
              <w:top w:val="single" w:sz="4" w:space="0" w:color="auto"/>
              <w:bottom w:val="single" w:sz="4" w:space="0" w:color="auto"/>
            </w:tcBorders>
          </w:tcPr>
          <w:p w:rsidR="007D39AB" w:rsidRPr="00EC7A54" w:rsidRDefault="007D39AB" w:rsidP="006E1F3D">
            <w:pPr>
              <w:autoSpaceDE w:val="0"/>
              <w:autoSpaceDN w:val="0"/>
              <w:adjustRightInd w:val="0"/>
              <w:ind w:firstLine="567"/>
              <w:jc w:val="center"/>
              <w:rPr>
                <w:rFonts w:ascii="Times New Roman" w:hAnsi="Times New Roman"/>
                <w:sz w:val="28"/>
                <w:szCs w:val="28"/>
              </w:rPr>
            </w:pPr>
            <w:r w:rsidRPr="00EC7A54">
              <w:rPr>
                <w:rFonts w:ascii="Times New Roman" w:hAnsi="Times New Roman"/>
                <w:sz w:val="28"/>
                <w:szCs w:val="28"/>
              </w:rPr>
              <w:t>Ввод жилья, кв. метров (по статистической отчетности 1-разрешение)</w:t>
            </w:r>
          </w:p>
        </w:tc>
      </w:tr>
      <w:tr w:rsidR="007D39AB" w:rsidRPr="00EC7A54" w:rsidTr="00ED2D37">
        <w:tc>
          <w:tcPr>
            <w:tcW w:w="3369"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ind w:firstLine="567"/>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предыдущий период</w:t>
            </w:r>
          </w:p>
        </w:tc>
        <w:tc>
          <w:tcPr>
            <w:tcW w:w="1559" w:type="dxa"/>
            <w:tcBorders>
              <w:top w:val="single" w:sz="4" w:space="0" w:color="auto"/>
              <w:left w:val="single" w:sz="4" w:space="0" w:color="auto"/>
              <w:bottom w:val="single" w:sz="4" w:space="0" w:color="auto"/>
              <w:right w:val="single" w:sz="4" w:space="0" w:color="auto"/>
            </w:tcBorders>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отчетный период</w:t>
            </w:r>
          </w:p>
        </w:tc>
        <w:tc>
          <w:tcPr>
            <w:tcW w:w="3367" w:type="dxa"/>
            <w:gridSpan w:val="3"/>
            <w:tcBorders>
              <w:top w:val="single" w:sz="4" w:space="0" w:color="auto"/>
              <w:left w:val="single" w:sz="4" w:space="0" w:color="auto"/>
              <w:bottom w:val="single" w:sz="4" w:space="0" w:color="auto"/>
            </w:tcBorders>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прогноз</w:t>
            </w:r>
          </w:p>
        </w:tc>
      </w:tr>
      <w:tr w:rsidR="007D39AB" w:rsidRPr="00EC7A54" w:rsidTr="00ED2D37">
        <w:tc>
          <w:tcPr>
            <w:tcW w:w="3369"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ind w:firstLine="567"/>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2014</w:t>
            </w:r>
          </w:p>
        </w:tc>
        <w:tc>
          <w:tcPr>
            <w:tcW w:w="1559" w:type="dxa"/>
            <w:tcBorders>
              <w:top w:val="single" w:sz="4" w:space="0" w:color="auto"/>
              <w:left w:val="single" w:sz="4" w:space="0" w:color="auto"/>
              <w:bottom w:val="single" w:sz="4" w:space="0" w:color="auto"/>
              <w:right w:val="single" w:sz="4" w:space="0" w:color="auto"/>
            </w:tcBorders>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2015</w:t>
            </w:r>
          </w:p>
        </w:tc>
        <w:tc>
          <w:tcPr>
            <w:tcW w:w="1134" w:type="dxa"/>
            <w:tcBorders>
              <w:top w:val="single" w:sz="4" w:space="0" w:color="auto"/>
              <w:left w:val="single" w:sz="4" w:space="0" w:color="auto"/>
              <w:bottom w:val="single" w:sz="4" w:space="0" w:color="auto"/>
              <w:right w:val="single" w:sz="4" w:space="0" w:color="auto"/>
            </w:tcBorders>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2016</w:t>
            </w:r>
          </w:p>
        </w:tc>
        <w:tc>
          <w:tcPr>
            <w:tcW w:w="1134" w:type="dxa"/>
            <w:tcBorders>
              <w:top w:val="single" w:sz="4" w:space="0" w:color="auto"/>
              <w:left w:val="single" w:sz="4" w:space="0" w:color="auto"/>
              <w:bottom w:val="single" w:sz="4" w:space="0" w:color="auto"/>
              <w:right w:val="single" w:sz="4" w:space="0" w:color="auto"/>
            </w:tcBorders>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2017</w:t>
            </w:r>
          </w:p>
        </w:tc>
        <w:tc>
          <w:tcPr>
            <w:tcW w:w="1099" w:type="dxa"/>
            <w:tcBorders>
              <w:top w:val="single" w:sz="4" w:space="0" w:color="auto"/>
              <w:left w:val="single" w:sz="4" w:space="0" w:color="auto"/>
              <w:bottom w:val="single" w:sz="4" w:space="0" w:color="auto"/>
            </w:tcBorders>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2018</w:t>
            </w:r>
          </w:p>
        </w:tc>
      </w:tr>
      <w:tr w:rsidR="007D39AB" w:rsidRPr="00EC7A54" w:rsidTr="00ED2D37">
        <w:tc>
          <w:tcPr>
            <w:tcW w:w="3369" w:type="dxa"/>
            <w:tcBorders>
              <w:top w:val="single" w:sz="4" w:space="0" w:color="auto"/>
              <w:bottom w:val="single" w:sz="4" w:space="0" w:color="auto"/>
              <w:right w:val="single" w:sz="4" w:space="0" w:color="auto"/>
            </w:tcBorders>
          </w:tcPr>
          <w:p w:rsidR="007D39AB" w:rsidRPr="00EC7A54" w:rsidRDefault="007D39AB" w:rsidP="00ED2D37">
            <w:pPr>
              <w:autoSpaceDE w:val="0"/>
              <w:autoSpaceDN w:val="0"/>
              <w:adjustRightInd w:val="0"/>
              <w:spacing w:line="240" w:lineRule="auto"/>
              <w:ind w:firstLine="142"/>
              <w:rPr>
                <w:rFonts w:ascii="Times New Roman" w:hAnsi="Times New Roman"/>
                <w:sz w:val="28"/>
                <w:szCs w:val="28"/>
              </w:rPr>
            </w:pPr>
            <w:r w:rsidRPr="00EC7A54">
              <w:rPr>
                <w:rFonts w:ascii="Times New Roman" w:hAnsi="Times New Roman"/>
                <w:sz w:val="28"/>
                <w:szCs w:val="28"/>
              </w:rPr>
              <w:t xml:space="preserve">     Введено всего, </w:t>
            </w:r>
          </w:p>
          <w:p w:rsidR="007D39AB" w:rsidRPr="00EC7A54" w:rsidRDefault="007D39AB" w:rsidP="00ED2D37">
            <w:pPr>
              <w:autoSpaceDE w:val="0"/>
              <w:autoSpaceDN w:val="0"/>
              <w:adjustRightInd w:val="0"/>
              <w:spacing w:line="240" w:lineRule="auto"/>
              <w:ind w:firstLine="142"/>
              <w:rPr>
                <w:rFonts w:ascii="Times New Roman" w:hAnsi="Times New Roman"/>
                <w:sz w:val="28"/>
                <w:szCs w:val="28"/>
              </w:rPr>
            </w:pPr>
            <w:r w:rsidRPr="00EC7A54">
              <w:rPr>
                <w:rFonts w:ascii="Times New Roman" w:hAnsi="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1839,6</w:t>
            </w:r>
          </w:p>
        </w:tc>
        <w:tc>
          <w:tcPr>
            <w:tcW w:w="1559"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2122,0</w:t>
            </w:r>
          </w:p>
        </w:tc>
        <w:tc>
          <w:tcPr>
            <w:tcW w:w="1134"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1700,0</w:t>
            </w:r>
          </w:p>
        </w:tc>
        <w:tc>
          <w:tcPr>
            <w:tcW w:w="1134"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1700,0</w:t>
            </w:r>
          </w:p>
        </w:tc>
        <w:tc>
          <w:tcPr>
            <w:tcW w:w="1099" w:type="dxa"/>
            <w:tcBorders>
              <w:top w:val="single" w:sz="4" w:space="0" w:color="auto"/>
              <w:left w:val="single" w:sz="4" w:space="0" w:color="auto"/>
              <w:bottom w:val="single" w:sz="4" w:space="0" w:color="auto"/>
            </w:tcBorders>
            <w:vAlign w:val="center"/>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1700,0</w:t>
            </w:r>
          </w:p>
        </w:tc>
      </w:tr>
      <w:tr w:rsidR="007D39AB" w:rsidRPr="00EC7A54" w:rsidTr="00ED2D37">
        <w:tc>
          <w:tcPr>
            <w:tcW w:w="3369" w:type="dxa"/>
            <w:tcBorders>
              <w:top w:val="single" w:sz="4" w:space="0" w:color="auto"/>
              <w:bottom w:val="single" w:sz="4" w:space="0" w:color="auto"/>
              <w:right w:val="single" w:sz="4" w:space="0" w:color="auto"/>
            </w:tcBorders>
          </w:tcPr>
          <w:p w:rsidR="007D39AB" w:rsidRPr="00EC7A54" w:rsidRDefault="007D39AB" w:rsidP="00ED2D37">
            <w:pPr>
              <w:autoSpaceDE w:val="0"/>
              <w:autoSpaceDN w:val="0"/>
              <w:adjustRightInd w:val="0"/>
              <w:spacing w:line="240" w:lineRule="auto"/>
              <w:ind w:firstLine="142"/>
              <w:rPr>
                <w:rFonts w:ascii="Times New Roman" w:hAnsi="Times New Roman"/>
                <w:sz w:val="28"/>
                <w:szCs w:val="28"/>
              </w:rPr>
            </w:pPr>
            <w:r w:rsidRPr="00EC7A54">
              <w:rPr>
                <w:rFonts w:ascii="Times New Roman" w:hAnsi="Times New Roman"/>
                <w:sz w:val="28"/>
                <w:szCs w:val="28"/>
              </w:rPr>
              <w:t>индивидуальное жилищное строительство</w:t>
            </w:r>
          </w:p>
        </w:tc>
        <w:tc>
          <w:tcPr>
            <w:tcW w:w="1559"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1839,6</w:t>
            </w:r>
          </w:p>
        </w:tc>
        <w:tc>
          <w:tcPr>
            <w:tcW w:w="1559"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ED2D37">
            <w:pPr>
              <w:autoSpaceDE w:val="0"/>
              <w:autoSpaceDN w:val="0"/>
              <w:adjustRightInd w:val="0"/>
              <w:ind w:firstLine="23"/>
              <w:jc w:val="center"/>
              <w:rPr>
                <w:rFonts w:ascii="Times New Roman" w:hAnsi="Times New Roman"/>
                <w:sz w:val="28"/>
                <w:szCs w:val="28"/>
              </w:rPr>
            </w:pPr>
            <w:r w:rsidRPr="00EC7A54">
              <w:rPr>
                <w:rFonts w:ascii="Times New Roman" w:hAnsi="Times New Roman"/>
                <w:sz w:val="28"/>
                <w:szCs w:val="28"/>
              </w:rPr>
              <w:t>2122,0</w:t>
            </w:r>
          </w:p>
        </w:tc>
        <w:tc>
          <w:tcPr>
            <w:tcW w:w="1134"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1700,0</w:t>
            </w:r>
          </w:p>
        </w:tc>
        <w:tc>
          <w:tcPr>
            <w:tcW w:w="1134"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1700,0</w:t>
            </w:r>
          </w:p>
        </w:tc>
        <w:tc>
          <w:tcPr>
            <w:tcW w:w="1099" w:type="dxa"/>
            <w:tcBorders>
              <w:top w:val="single" w:sz="4" w:space="0" w:color="auto"/>
              <w:left w:val="single" w:sz="4" w:space="0" w:color="auto"/>
              <w:bottom w:val="single" w:sz="4" w:space="0" w:color="auto"/>
            </w:tcBorders>
            <w:vAlign w:val="center"/>
          </w:tcPr>
          <w:p w:rsidR="007D39AB" w:rsidRPr="00EC7A54" w:rsidRDefault="007D39AB" w:rsidP="00ED2D37">
            <w:pPr>
              <w:autoSpaceDE w:val="0"/>
              <w:autoSpaceDN w:val="0"/>
              <w:adjustRightInd w:val="0"/>
              <w:ind w:firstLine="34"/>
              <w:jc w:val="center"/>
              <w:rPr>
                <w:rFonts w:ascii="Times New Roman" w:hAnsi="Times New Roman"/>
                <w:sz w:val="28"/>
                <w:szCs w:val="28"/>
              </w:rPr>
            </w:pPr>
            <w:r w:rsidRPr="00EC7A54">
              <w:rPr>
                <w:rFonts w:ascii="Times New Roman" w:hAnsi="Times New Roman"/>
                <w:sz w:val="28"/>
                <w:szCs w:val="28"/>
              </w:rPr>
              <w:t>1700,0</w:t>
            </w:r>
          </w:p>
        </w:tc>
      </w:tr>
      <w:tr w:rsidR="007D39AB" w:rsidRPr="00EC7A54" w:rsidTr="00ED2D37">
        <w:tc>
          <w:tcPr>
            <w:tcW w:w="3369" w:type="dxa"/>
            <w:tcBorders>
              <w:top w:val="single" w:sz="4" w:space="0" w:color="auto"/>
              <w:bottom w:val="single" w:sz="4" w:space="0" w:color="auto"/>
              <w:right w:val="single" w:sz="4" w:space="0" w:color="auto"/>
            </w:tcBorders>
          </w:tcPr>
          <w:p w:rsidR="007D39AB" w:rsidRPr="00EC7A54" w:rsidRDefault="007D39AB" w:rsidP="00ED2D37">
            <w:pPr>
              <w:autoSpaceDE w:val="0"/>
              <w:autoSpaceDN w:val="0"/>
              <w:adjustRightInd w:val="0"/>
              <w:spacing w:line="240" w:lineRule="auto"/>
              <w:ind w:firstLine="142"/>
              <w:rPr>
                <w:rFonts w:ascii="Times New Roman" w:hAnsi="Times New Roman"/>
                <w:sz w:val="28"/>
                <w:szCs w:val="28"/>
              </w:rPr>
            </w:pPr>
            <w:r w:rsidRPr="00EC7A54">
              <w:rPr>
                <w:rFonts w:ascii="Times New Roman" w:hAnsi="Times New Roman"/>
                <w:sz w:val="28"/>
                <w:szCs w:val="28"/>
              </w:rPr>
              <w:t>многоквартирное строительство</w:t>
            </w:r>
          </w:p>
        </w:tc>
        <w:tc>
          <w:tcPr>
            <w:tcW w:w="1559"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6E1F3D">
            <w:pPr>
              <w:autoSpaceDE w:val="0"/>
              <w:autoSpaceDN w:val="0"/>
              <w:adjustRightInd w:val="0"/>
              <w:ind w:firstLine="567"/>
              <w:jc w:val="center"/>
              <w:rPr>
                <w:rFonts w:ascii="Times New Roman" w:hAnsi="Times New Roman"/>
                <w:sz w:val="28"/>
                <w:szCs w:val="28"/>
              </w:rPr>
            </w:pPr>
            <w:r w:rsidRPr="00EC7A54">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6E1F3D">
            <w:pPr>
              <w:autoSpaceDE w:val="0"/>
              <w:autoSpaceDN w:val="0"/>
              <w:adjustRightInd w:val="0"/>
              <w:ind w:firstLine="567"/>
              <w:jc w:val="center"/>
              <w:rPr>
                <w:rFonts w:ascii="Times New Roman" w:hAnsi="Times New Roman"/>
                <w:sz w:val="28"/>
                <w:szCs w:val="28"/>
              </w:rPr>
            </w:pPr>
            <w:r w:rsidRPr="00EC7A54">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6E1F3D">
            <w:pPr>
              <w:autoSpaceDE w:val="0"/>
              <w:autoSpaceDN w:val="0"/>
              <w:adjustRightInd w:val="0"/>
              <w:ind w:firstLine="567"/>
              <w:jc w:val="center"/>
              <w:rPr>
                <w:rFonts w:ascii="Times New Roman" w:hAnsi="Times New Roman"/>
                <w:sz w:val="28"/>
                <w:szCs w:val="28"/>
              </w:rPr>
            </w:pPr>
            <w:r w:rsidRPr="00EC7A54">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7D39AB" w:rsidRPr="00EC7A54" w:rsidRDefault="007D39AB" w:rsidP="006E1F3D">
            <w:pPr>
              <w:autoSpaceDE w:val="0"/>
              <w:autoSpaceDN w:val="0"/>
              <w:adjustRightInd w:val="0"/>
              <w:ind w:firstLine="567"/>
              <w:jc w:val="center"/>
              <w:rPr>
                <w:rFonts w:ascii="Times New Roman" w:hAnsi="Times New Roman"/>
                <w:sz w:val="28"/>
                <w:szCs w:val="28"/>
              </w:rPr>
            </w:pPr>
            <w:r w:rsidRPr="00EC7A54">
              <w:rPr>
                <w:rFonts w:ascii="Times New Roman" w:hAnsi="Times New Roman"/>
                <w:sz w:val="28"/>
                <w:szCs w:val="28"/>
              </w:rPr>
              <w:t>0</w:t>
            </w:r>
          </w:p>
        </w:tc>
        <w:tc>
          <w:tcPr>
            <w:tcW w:w="1099" w:type="dxa"/>
            <w:tcBorders>
              <w:top w:val="single" w:sz="4" w:space="0" w:color="auto"/>
              <w:left w:val="single" w:sz="4" w:space="0" w:color="auto"/>
              <w:bottom w:val="single" w:sz="4" w:space="0" w:color="auto"/>
            </w:tcBorders>
            <w:vAlign w:val="center"/>
          </w:tcPr>
          <w:p w:rsidR="007D39AB" w:rsidRPr="00EC7A54" w:rsidRDefault="007D39AB" w:rsidP="006E1F3D">
            <w:pPr>
              <w:autoSpaceDE w:val="0"/>
              <w:autoSpaceDN w:val="0"/>
              <w:adjustRightInd w:val="0"/>
              <w:ind w:firstLine="567"/>
              <w:jc w:val="center"/>
              <w:rPr>
                <w:rFonts w:ascii="Times New Roman" w:hAnsi="Times New Roman"/>
                <w:sz w:val="28"/>
                <w:szCs w:val="28"/>
              </w:rPr>
            </w:pPr>
            <w:r w:rsidRPr="00EC7A54">
              <w:rPr>
                <w:rFonts w:ascii="Times New Roman" w:hAnsi="Times New Roman"/>
                <w:sz w:val="28"/>
                <w:szCs w:val="28"/>
              </w:rPr>
              <w:t>0</w:t>
            </w:r>
          </w:p>
        </w:tc>
      </w:tr>
    </w:tbl>
    <w:p w:rsidR="007D39AB" w:rsidRPr="006E1F3D" w:rsidRDefault="007D39AB" w:rsidP="006E1F3D">
      <w:pPr>
        <w:autoSpaceDE w:val="0"/>
        <w:autoSpaceDN w:val="0"/>
        <w:adjustRightInd w:val="0"/>
        <w:spacing w:after="0" w:line="240" w:lineRule="auto"/>
        <w:ind w:firstLine="567"/>
        <w:rPr>
          <w:rFonts w:ascii="Times New Roman" w:hAnsi="Times New Roman"/>
          <w:color w:val="FF0000"/>
          <w:sz w:val="28"/>
          <w:szCs w:val="28"/>
        </w:rPr>
      </w:pP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25. 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7D39AB" w:rsidRPr="006E1F3D" w:rsidRDefault="007D39AB" w:rsidP="006E1F3D">
      <w:pPr>
        <w:autoSpaceDE w:val="0"/>
        <w:autoSpaceDN w:val="0"/>
        <w:adjustRightInd w:val="0"/>
        <w:spacing w:after="0"/>
        <w:ind w:firstLine="567"/>
        <w:jc w:val="both"/>
        <w:rPr>
          <w:rFonts w:ascii="Times New Roman" w:hAnsi="Times New Roman"/>
          <w:sz w:val="28"/>
          <w:szCs w:val="28"/>
        </w:rPr>
      </w:pPr>
      <w:r w:rsidRPr="006E1F3D">
        <w:rPr>
          <w:rFonts w:ascii="Times New Roman" w:hAnsi="Times New Roman"/>
          <w:sz w:val="28"/>
          <w:szCs w:val="28"/>
        </w:rPr>
        <w:t>Площадь земельных участков предоставленных населению для строительства в расчете на 10 тыс. чел. в 2015 году составила  10,36 га, для жилищного строительства (в т.ч. для   ИЖС) -  6,29 га, для строительства объектов, не являющихся объектами жилищного строительства - 3,1584 га, при среднегодовой численности населения 7764 чел.</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В 2015 году было предоставлено земельных участков для строительства общей площадью 8,0448 га, из них для жилищного строительства (в т.ч. для   ИЖС) - 4,8864 га,  для строительства объектов, не являющихся объектами жилищного строительства  3,1584 га (из них Большеулуйским сельским советом было выделено 3,104 га для строительства линейного объекта на АНПЗ). В последующие года планируется выделение земельных участков только для жилищного строительства (в т.ч. для   ИЖС).</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tblPr>
      <w:tblGrid>
        <w:gridCol w:w="4361"/>
        <w:gridCol w:w="1559"/>
        <w:gridCol w:w="1310"/>
        <w:gridCol w:w="992"/>
        <w:gridCol w:w="993"/>
        <w:gridCol w:w="1099"/>
      </w:tblGrid>
      <w:tr w:rsidR="007D39AB" w:rsidRPr="00EC7A54" w:rsidTr="000C18E2">
        <w:tc>
          <w:tcPr>
            <w:tcW w:w="10314" w:type="dxa"/>
            <w:gridSpan w:val="6"/>
            <w:tcBorders>
              <w:top w:val="single" w:sz="4" w:space="0" w:color="auto"/>
              <w:bottom w:val="single" w:sz="4" w:space="0" w:color="auto"/>
            </w:tcBorders>
          </w:tcPr>
          <w:p w:rsidR="007D39AB" w:rsidRPr="00EC7A54" w:rsidRDefault="007D39AB" w:rsidP="006E1F3D">
            <w:pPr>
              <w:autoSpaceDE w:val="0"/>
              <w:autoSpaceDN w:val="0"/>
              <w:adjustRightInd w:val="0"/>
              <w:ind w:firstLine="567"/>
              <w:jc w:val="center"/>
              <w:rPr>
                <w:rFonts w:ascii="Times New Roman" w:hAnsi="Times New Roman"/>
                <w:sz w:val="28"/>
                <w:szCs w:val="28"/>
              </w:rPr>
            </w:pPr>
            <w:r w:rsidRPr="00EC7A54">
              <w:rPr>
                <w:rFonts w:ascii="Times New Roman" w:hAnsi="Times New Roman"/>
                <w:sz w:val="28"/>
                <w:szCs w:val="28"/>
              </w:rPr>
              <w:t>Площадь предоставленных земельных участков, Га</w:t>
            </w:r>
          </w:p>
        </w:tc>
      </w:tr>
      <w:tr w:rsidR="007D39AB" w:rsidRPr="00EC7A54" w:rsidTr="000424A4">
        <w:tc>
          <w:tcPr>
            <w:tcW w:w="4361"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ind w:firstLine="567"/>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предыдущий период</w:t>
            </w:r>
          </w:p>
        </w:tc>
        <w:tc>
          <w:tcPr>
            <w:tcW w:w="1310"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отчетный период</w:t>
            </w:r>
          </w:p>
        </w:tc>
        <w:tc>
          <w:tcPr>
            <w:tcW w:w="3084" w:type="dxa"/>
            <w:gridSpan w:val="3"/>
            <w:tcBorders>
              <w:top w:val="single" w:sz="4" w:space="0" w:color="auto"/>
              <w:left w:val="single" w:sz="4" w:space="0" w:color="auto"/>
              <w:bottom w:val="single" w:sz="4" w:space="0" w:color="auto"/>
            </w:tcBorders>
          </w:tcPr>
          <w:p w:rsidR="007D39AB" w:rsidRPr="00EC7A54" w:rsidRDefault="007D39AB" w:rsidP="006E1F3D">
            <w:pPr>
              <w:autoSpaceDE w:val="0"/>
              <w:autoSpaceDN w:val="0"/>
              <w:adjustRightInd w:val="0"/>
              <w:ind w:firstLine="567"/>
              <w:jc w:val="center"/>
              <w:rPr>
                <w:rFonts w:ascii="Times New Roman" w:hAnsi="Times New Roman"/>
                <w:sz w:val="28"/>
                <w:szCs w:val="28"/>
              </w:rPr>
            </w:pPr>
            <w:r w:rsidRPr="00EC7A54">
              <w:rPr>
                <w:rFonts w:ascii="Times New Roman" w:hAnsi="Times New Roman"/>
                <w:sz w:val="28"/>
                <w:szCs w:val="28"/>
              </w:rPr>
              <w:t>прогноз</w:t>
            </w:r>
          </w:p>
        </w:tc>
      </w:tr>
      <w:tr w:rsidR="007D39AB" w:rsidRPr="00EC7A54" w:rsidTr="000424A4">
        <w:tc>
          <w:tcPr>
            <w:tcW w:w="4361"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ind w:firstLine="567"/>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2014</w:t>
            </w:r>
          </w:p>
        </w:tc>
        <w:tc>
          <w:tcPr>
            <w:tcW w:w="1310"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2015</w:t>
            </w:r>
          </w:p>
        </w:tc>
        <w:tc>
          <w:tcPr>
            <w:tcW w:w="992"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2016</w:t>
            </w:r>
          </w:p>
        </w:tc>
        <w:tc>
          <w:tcPr>
            <w:tcW w:w="993"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2017</w:t>
            </w:r>
          </w:p>
        </w:tc>
        <w:tc>
          <w:tcPr>
            <w:tcW w:w="1099" w:type="dxa"/>
            <w:tcBorders>
              <w:top w:val="single" w:sz="4" w:space="0" w:color="auto"/>
              <w:left w:val="single" w:sz="4" w:space="0" w:color="auto"/>
              <w:bottom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2018</w:t>
            </w:r>
          </w:p>
        </w:tc>
      </w:tr>
      <w:tr w:rsidR="007D39AB" w:rsidRPr="00EC7A54" w:rsidTr="000424A4">
        <w:trPr>
          <w:trHeight w:val="1607"/>
        </w:trPr>
        <w:tc>
          <w:tcPr>
            <w:tcW w:w="4361" w:type="dxa"/>
            <w:tcBorders>
              <w:top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line="240" w:lineRule="auto"/>
              <w:ind w:firstLine="567"/>
              <w:rPr>
                <w:rFonts w:ascii="Times New Roman" w:hAnsi="Times New Roman"/>
                <w:sz w:val="28"/>
                <w:szCs w:val="28"/>
              </w:rPr>
            </w:pPr>
            <w:r w:rsidRPr="00EC7A54">
              <w:rPr>
                <w:rFonts w:ascii="Times New Roman" w:hAnsi="Times New Roman"/>
                <w:sz w:val="28"/>
                <w:szCs w:val="28"/>
              </w:rPr>
              <w:t>Площадь земельных участков, предоставленных для строительства, всего:</w:t>
            </w:r>
          </w:p>
          <w:p w:rsidR="007D39AB" w:rsidRPr="00EC7A54" w:rsidRDefault="007D39AB" w:rsidP="000424A4">
            <w:pPr>
              <w:autoSpaceDE w:val="0"/>
              <w:autoSpaceDN w:val="0"/>
              <w:adjustRightInd w:val="0"/>
              <w:spacing w:line="240" w:lineRule="auto"/>
              <w:ind w:firstLine="567"/>
              <w:rPr>
                <w:rFonts w:ascii="Times New Roman" w:hAnsi="Times New Roman"/>
                <w:sz w:val="28"/>
                <w:szCs w:val="28"/>
              </w:rPr>
            </w:pPr>
            <w:r w:rsidRPr="00EC7A54">
              <w:rPr>
                <w:rFonts w:ascii="Times New Roman" w:hAnsi="Times New Roman"/>
                <w:sz w:val="28"/>
                <w:szCs w:val="28"/>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2,15</w:t>
            </w:r>
          </w:p>
        </w:tc>
        <w:tc>
          <w:tcPr>
            <w:tcW w:w="1310"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8,0448</w:t>
            </w:r>
          </w:p>
        </w:tc>
        <w:tc>
          <w:tcPr>
            <w:tcW w:w="992"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rPr>
                <w:rFonts w:ascii="Times New Roman" w:hAnsi="Times New Roman"/>
                <w:sz w:val="28"/>
                <w:szCs w:val="28"/>
              </w:rPr>
            </w:pPr>
            <w:r w:rsidRPr="00EC7A54">
              <w:rPr>
                <w:rFonts w:ascii="Times New Roman" w:hAnsi="Times New Roman"/>
                <w:sz w:val="28"/>
                <w:szCs w:val="28"/>
              </w:rPr>
              <w:t>4,4629</w:t>
            </w:r>
          </w:p>
        </w:tc>
        <w:tc>
          <w:tcPr>
            <w:tcW w:w="993"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5,27</w:t>
            </w:r>
          </w:p>
        </w:tc>
        <w:tc>
          <w:tcPr>
            <w:tcW w:w="1099" w:type="dxa"/>
            <w:tcBorders>
              <w:top w:val="single" w:sz="4" w:space="0" w:color="auto"/>
              <w:left w:val="single" w:sz="4" w:space="0" w:color="auto"/>
              <w:bottom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4,98</w:t>
            </w:r>
          </w:p>
        </w:tc>
      </w:tr>
      <w:tr w:rsidR="007D39AB" w:rsidRPr="00EC7A54" w:rsidTr="000424A4">
        <w:tc>
          <w:tcPr>
            <w:tcW w:w="4361"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ind w:left="284" w:firstLine="567"/>
              <w:rPr>
                <w:rFonts w:ascii="Times New Roman" w:hAnsi="Times New Roman"/>
                <w:sz w:val="28"/>
                <w:szCs w:val="28"/>
              </w:rPr>
            </w:pPr>
            <w:r w:rsidRPr="00EC7A54">
              <w:rPr>
                <w:rFonts w:ascii="Times New Roman" w:hAnsi="Times New Roman"/>
                <w:sz w:val="28"/>
                <w:szCs w:val="28"/>
              </w:rPr>
              <w:t>для жилищного строительства (в т.ч. для   ИЖС)</w:t>
            </w:r>
          </w:p>
        </w:tc>
        <w:tc>
          <w:tcPr>
            <w:tcW w:w="1559"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2,15</w:t>
            </w:r>
          </w:p>
        </w:tc>
        <w:tc>
          <w:tcPr>
            <w:tcW w:w="1310"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4,8864</w:t>
            </w:r>
          </w:p>
        </w:tc>
        <w:tc>
          <w:tcPr>
            <w:tcW w:w="992"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rPr>
                <w:rFonts w:ascii="Times New Roman" w:hAnsi="Times New Roman"/>
                <w:sz w:val="28"/>
                <w:szCs w:val="28"/>
              </w:rPr>
            </w:pPr>
            <w:r w:rsidRPr="00EC7A54">
              <w:rPr>
                <w:rFonts w:ascii="Times New Roman" w:hAnsi="Times New Roman"/>
                <w:sz w:val="28"/>
                <w:szCs w:val="28"/>
              </w:rPr>
              <w:t>4,4589</w:t>
            </w:r>
          </w:p>
        </w:tc>
        <w:tc>
          <w:tcPr>
            <w:tcW w:w="993"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5,27</w:t>
            </w:r>
          </w:p>
        </w:tc>
        <w:tc>
          <w:tcPr>
            <w:tcW w:w="1099" w:type="dxa"/>
            <w:tcBorders>
              <w:top w:val="single" w:sz="4" w:space="0" w:color="auto"/>
              <w:left w:val="single" w:sz="4" w:space="0" w:color="auto"/>
              <w:bottom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5,27</w:t>
            </w:r>
          </w:p>
        </w:tc>
      </w:tr>
      <w:tr w:rsidR="007D39AB" w:rsidRPr="00EC7A54" w:rsidTr="000424A4">
        <w:tc>
          <w:tcPr>
            <w:tcW w:w="4361"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ind w:left="284" w:firstLine="567"/>
              <w:rPr>
                <w:rFonts w:ascii="Times New Roman" w:hAnsi="Times New Roman"/>
                <w:sz w:val="28"/>
                <w:szCs w:val="28"/>
              </w:rPr>
            </w:pPr>
            <w:r w:rsidRPr="00EC7A54">
              <w:rPr>
                <w:rFonts w:ascii="Times New Roman" w:hAnsi="Times New Roman"/>
                <w:sz w:val="28"/>
                <w:szCs w:val="28"/>
              </w:rPr>
              <w:t>для комплексного освоения в целях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0</w:t>
            </w:r>
          </w:p>
        </w:tc>
        <w:tc>
          <w:tcPr>
            <w:tcW w:w="1310"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rPr>
                <w:rFonts w:ascii="Times New Roman" w:hAnsi="Times New Roman"/>
                <w:sz w:val="28"/>
                <w:szCs w:val="28"/>
              </w:rPr>
            </w:pPr>
            <w:r w:rsidRPr="00EC7A54">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0</w:t>
            </w:r>
          </w:p>
        </w:tc>
        <w:tc>
          <w:tcPr>
            <w:tcW w:w="1099" w:type="dxa"/>
            <w:tcBorders>
              <w:top w:val="single" w:sz="4" w:space="0" w:color="auto"/>
              <w:left w:val="single" w:sz="4" w:space="0" w:color="auto"/>
              <w:bottom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0</w:t>
            </w:r>
          </w:p>
        </w:tc>
      </w:tr>
      <w:tr w:rsidR="007D39AB" w:rsidRPr="00EC7A54" w:rsidTr="000424A4">
        <w:tc>
          <w:tcPr>
            <w:tcW w:w="4361"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ind w:left="284" w:firstLine="567"/>
              <w:rPr>
                <w:rFonts w:ascii="Times New Roman" w:hAnsi="Times New Roman"/>
                <w:sz w:val="28"/>
                <w:szCs w:val="28"/>
              </w:rPr>
            </w:pPr>
            <w:r w:rsidRPr="00EC7A54">
              <w:rPr>
                <w:rFonts w:ascii="Times New Roman" w:hAnsi="Times New Roman"/>
                <w:sz w:val="28"/>
                <w:szCs w:val="28"/>
              </w:rPr>
              <w:t>для строительства объектов, не являющихся объектами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0</w:t>
            </w:r>
          </w:p>
        </w:tc>
        <w:tc>
          <w:tcPr>
            <w:tcW w:w="1310"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3,1584</w:t>
            </w:r>
          </w:p>
        </w:tc>
        <w:tc>
          <w:tcPr>
            <w:tcW w:w="992"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rPr>
                <w:rFonts w:ascii="Times New Roman" w:hAnsi="Times New Roman"/>
                <w:sz w:val="28"/>
                <w:szCs w:val="28"/>
              </w:rPr>
            </w:pPr>
            <w:r w:rsidRPr="00EC7A54">
              <w:rPr>
                <w:rFonts w:ascii="Times New Roman" w:hAnsi="Times New Roman"/>
                <w:sz w:val="28"/>
                <w:szCs w:val="28"/>
              </w:rPr>
              <w:t>0,004</w:t>
            </w:r>
          </w:p>
        </w:tc>
        <w:tc>
          <w:tcPr>
            <w:tcW w:w="993"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0</w:t>
            </w:r>
          </w:p>
        </w:tc>
        <w:tc>
          <w:tcPr>
            <w:tcW w:w="1099" w:type="dxa"/>
            <w:tcBorders>
              <w:top w:val="single" w:sz="4" w:space="0" w:color="auto"/>
              <w:left w:val="single" w:sz="4" w:space="0" w:color="auto"/>
              <w:bottom w:val="single" w:sz="4" w:space="0" w:color="auto"/>
            </w:tcBorders>
          </w:tcPr>
          <w:p w:rsidR="007D39AB" w:rsidRPr="00EC7A54" w:rsidRDefault="007D39AB" w:rsidP="000424A4">
            <w:pPr>
              <w:autoSpaceDE w:val="0"/>
              <w:autoSpaceDN w:val="0"/>
              <w:adjustRightInd w:val="0"/>
              <w:ind w:firstLine="34"/>
              <w:rPr>
                <w:rFonts w:ascii="Times New Roman" w:hAnsi="Times New Roman"/>
                <w:sz w:val="28"/>
                <w:szCs w:val="28"/>
              </w:rPr>
            </w:pPr>
            <w:r w:rsidRPr="00EC7A54">
              <w:rPr>
                <w:rFonts w:ascii="Times New Roman" w:hAnsi="Times New Roman"/>
                <w:sz w:val="28"/>
                <w:szCs w:val="28"/>
              </w:rPr>
              <w:t>0</w:t>
            </w:r>
          </w:p>
        </w:tc>
      </w:tr>
    </w:tbl>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7D39AB" w:rsidRPr="006E1F3D" w:rsidRDefault="007D39AB" w:rsidP="006E1F3D">
      <w:pPr>
        <w:autoSpaceDE w:val="0"/>
        <w:autoSpaceDN w:val="0"/>
        <w:adjustRightInd w:val="0"/>
        <w:spacing w:line="240" w:lineRule="auto"/>
        <w:ind w:firstLine="567"/>
        <w:jc w:val="both"/>
        <w:rPr>
          <w:rFonts w:ascii="Times New Roman" w:hAnsi="Times New Roman"/>
          <w:sz w:val="28"/>
          <w:szCs w:val="28"/>
        </w:rPr>
      </w:pPr>
      <w:r w:rsidRPr="006E1F3D">
        <w:rPr>
          <w:rFonts w:ascii="Times New Roman" w:hAnsi="Times New Roman"/>
          <w:sz w:val="28"/>
          <w:szCs w:val="28"/>
        </w:rPr>
        <w:t xml:space="preserve">      В 2015 году на территории района не предоставлялись земельные участки для жилищного строительства или для иных объектов капитального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lang w:val="en-US"/>
        </w:rPr>
        <w:t>VII</w:t>
      </w:r>
      <w:r w:rsidRPr="006E1F3D">
        <w:rPr>
          <w:rFonts w:ascii="Times New Roman" w:hAnsi="Times New Roman"/>
          <w:b/>
          <w:bCs/>
          <w:color w:val="000000"/>
          <w:sz w:val="28"/>
          <w:szCs w:val="28"/>
        </w:rPr>
        <w:t>. Жилищно-коммунальное хозяйство</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На территории Большеулуйского района расположено 653 многоквартирных дома, это на 1,7 % меньше по сравнению с 2014 годом, уменьшение за счет проведения инвентаризации в Бобровском сельсовете (после присоединения с. Таежка к Бобровскому с/совету), из них 639 домов блокированной застройки. Во всех многоквартирных домах собственники жилья выбрали способ управления домами, из них собственники 14 многоквартирных домов выбрали способ управления – товарищество собственников жилья, 639 домов находится в непосредственном управлении собственниками жилых помещений.</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7D39AB" w:rsidRPr="006E1F3D" w:rsidRDefault="007D39AB" w:rsidP="006E1F3D">
      <w:pPr>
        <w:autoSpaceDE w:val="0"/>
        <w:autoSpaceDN w:val="0"/>
        <w:adjustRightInd w:val="0"/>
        <w:spacing w:after="0" w:line="240" w:lineRule="auto"/>
        <w:ind w:firstLine="567"/>
        <w:jc w:val="both"/>
        <w:rPr>
          <w:rFonts w:ascii="Times New Roman" w:hAnsi="Times New Roman"/>
          <w:b/>
          <w:bCs/>
          <w:sz w:val="28"/>
          <w:szCs w:val="28"/>
        </w:rPr>
      </w:pPr>
      <w:r w:rsidRPr="006E1F3D">
        <w:rPr>
          <w:rFonts w:ascii="Times New Roman" w:hAnsi="Times New Roman"/>
          <w:sz w:val="28"/>
          <w:szCs w:val="28"/>
        </w:rPr>
        <w:t>Жилищно-коммунальные услуги  в 2015 году  оказывали 2 организации коммунального комплекса, при этом услуги по тепло  и водоснабжению предоставляла   одна многоотраслевая организация ООО «КоммунСтройСервис», электроснабжением занималось ОАО «КрасноярскЭнергосбыт».</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Сбор и вывоз бытовых отходов на территории района в 2015 году осуществляет ИП Беллер Ю.К.</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Из общего количества многоквартирных домов 433  расположены на земельных участках в отношении которых осуществлен государственный кадастровый учет, что составляет 66,3%. К 2018 году планируется долю многоквартирных домов, расположены  на земельных участках, в отношении которых осуществлен государственный кадастровый учет увеличить до 68,6%.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7D39AB" w:rsidRPr="006E1F3D" w:rsidRDefault="007D39AB" w:rsidP="006E1F3D">
      <w:pPr>
        <w:tabs>
          <w:tab w:val="left" w:pos="3420"/>
          <w:tab w:val="left" w:pos="5040"/>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В 2015 году 5 семей  по договору социального найма  получили  жилое помещение  и улучшили  жилищные условия, что составляет 4,1 % от числа семей  состоящих на учете  в качестве нуждающихся  в жилых помещениях по состоянию   на 1.01.2015 года</w:t>
      </w:r>
    </w:p>
    <w:tbl>
      <w:tblPr>
        <w:tblW w:w="10259" w:type="dxa"/>
        <w:tblInd w:w="-252" w:type="dxa"/>
        <w:tblBorders>
          <w:top w:val="single" w:sz="4" w:space="0" w:color="auto"/>
          <w:left w:val="single" w:sz="4" w:space="0" w:color="auto"/>
          <w:bottom w:val="single" w:sz="4" w:space="0" w:color="auto"/>
          <w:right w:val="single" w:sz="4" w:space="0" w:color="auto"/>
        </w:tblBorders>
        <w:tblLayout w:type="fixed"/>
        <w:tblLook w:val="00A0"/>
      </w:tblPr>
      <w:tblGrid>
        <w:gridCol w:w="540"/>
        <w:gridCol w:w="4640"/>
        <w:gridCol w:w="992"/>
        <w:gridCol w:w="851"/>
        <w:gridCol w:w="1134"/>
        <w:gridCol w:w="1134"/>
        <w:gridCol w:w="968"/>
      </w:tblGrid>
      <w:tr w:rsidR="007D39AB" w:rsidRPr="00EC7A54" w:rsidTr="000424A4">
        <w:tc>
          <w:tcPr>
            <w:tcW w:w="540"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360" w:lineRule="auto"/>
              <w:ind w:left="72" w:firstLine="567"/>
              <w:jc w:val="center"/>
              <w:rPr>
                <w:rFonts w:ascii="Times New Roman" w:hAnsi="Times New Roman"/>
                <w:b/>
                <w:bCs/>
                <w:sz w:val="28"/>
                <w:szCs w:val="28"/>
              </w:rPr>
            </w:pPr>
          </w:p>
        </w:tc>
        <w:tc>
          <w:tcPr>
            <w:tcW w:w="4640" w:type="dxa"/>
            <w:tcBorders>
              <w:top w:val="single" w:sz="4" w:space="0" w:color="auto"/>
              <w:left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360" w:lineRule="auto"/>
              <w:ind w:left="72" w:firstLine="567"/>
              <w:jc w:val="center"/>
              <w:rPr>
                <w:rFonts w:ascii="Times New Roman" w:hAnsi="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34"/>
              <w:jc w:val="center"/>
              <w:rPr>
                <w:rFonts w:ascii="Times New Roman" w:hAnsi="Times New Roman"/>
                <w:sz w:val="28"/>
                <w:szCs w:val="28"/>
              </w:rPr>
            </w:pPr>
            <w:r w:rsidRPr="00EC7A54">
              <w:rPr>
                <w:rFonts w:ascii="Times New Roman" w:hAnsi="Times New Roman"/>
                <w:sz w:val="28"/>
                <w:szCs w:val="28"/>
              </w:rPr>
              <w:t>2014</w:t>
            </w:r>
          </w:p>
        </w:tc>
        <w:tc>
          <w:tcPr>
            <w:tcW w:w="851"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34"/>
              <w:jc w:val="center"/>
              <w:rPr>
                <w:rFonts w:ascii="Times New Roman" w:hAnsi="Times New Roman"/>
                <w:sz w:val="28"/>
                <w:szCs w:val="28"/>
              </w:rPr>
            </w:pPr>
            <w:r w:rsidRPr="00EC7A54">
              <w:rPr>
                <w:rFonts w:ascii="Times New Roman" w:hAnsi="Times New Roman"/>
                <w:sz w:val="28"/>
                <w:szCs w:val="28"/>
              </w:rPr>
              <w:t>2015</w:t>
            </w:r>
          </w:p>
        </w:tc>
        <w:tc>
          <w:tcPr>
            <w:tcW w:w="1134"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2016</w:t>
            </w:r>
          </w:p>
        </w:tc>
        <w:tc>
          <w:tcPr>
            <w:tcW w:w="1134"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2017</w:t>
            </w:r>
          </w:p>
        </w:tc>
        <w:tc>
          <w:tcPr>
            <w:tcW w:w="968" w:type="dxa"/>
            <w:tcBorders>
              <w:top w:val="single" w:sz="4" w:space="0" w:color="auto"/>
              <w:left w:val="single" w:sz="4" w:space="0" w:color="auto"/>
              <w:bottom w:val="single" w:sz="4" w:space="0" w:color="auto"/>
            </w:tcBorders>
          </w:tcPr>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2018</w:t>
            </w:r>
          </w:p>
        </w:tc>
      </w:tr>
      <w:tr w:rsidR="007D39AB" w:rsidRPr="00EC7A54" w:rsidTr="000424A4">
        <w:tc>
          <w:tcPr>
            <w:tcW w:w="540"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360" w:lineRule="auto"/>
              <w:ind w:left="72" w:firstLine="567"/>
              <w:jc w:val="center"/>
              <w:rPr>
                <w:rFonts w:ascii="Times New Roman" w:hAnsi="Times New Roman"/>
                <w:sz w:val="28"/>
                <w:szCs w:val="28"/>
              </w:rPr>
            </w:pPr>
            <w:r w:rsidRPr="00EC7A54">
              <w:rPr>
                <w:rFonts w:ascii="Times New Roman" w:hAnsi="Times New Roman"/>
                <w:sz w:val="28"/>
                <w:szCs w:val="28"/>
              </w:rPr>
              <w:t>11.</w:t>
            </w:r>
          </w:p>
        </w:tc>
        <w:tc>
          <w:tcPr>
            <w:tcW w:w="4640"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240" w:lineRule="auto"/>
              <w:ind w:left="72" w:firstLine="567"/>
              <w:rPr>
                <w:rFonts w:ascii="Times New Roman" w:hAnsi="Times New Roman"/>
                <w:sz w:val="28"/>
                <w:szCs w:val="28"/>
              </w:rPr>
            </w:pPr>
            <w:r w:rsidRPr="00EC7A54">
              <w:rPr>
                <w:rFonts w:ascii="Times New Roman" w:hAnsi="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992" w:type="dxa"/>
            <w:tcBorders>
              <w:top w:val="single" w:sz="4" w:space="0" w:color="auto"/>
              <w:left w:val="single" w:sz="4" w:space="0" w:color="auto"/>
              <w:bottom w:val="single" w:sz="4" w:space="0" w:color="auto"/>
              <w:right w:val="single" w:sz="4" w:space="0" w:color="auto"/>
            </w:tcBorders>
          </w:tcPr>
          <w:p w:rsidR="007D39AB" w:rsidRPr="006E1F3D" w:rsidRDefault="007D39AB" w:rsidP="000424A4">
            <w:pPr>
              <w:autoSpaceDE w:val="0"/>
              <w:autoSpaceDN w:val="0"/>
              <w:adjustRightInd w:val="0"/>
              <w:spacing w:after="0" w:line="360" w:lineRule="auto"/>
              <w:ind w:firstLine="176"/>
              <w:jc w:val="center"/>
              <w:rPr>
                <w:rFonts w:ascii="Times New Roman" w:hAnsi="Times New Roman"/>
                <w:sz w:val="28"/>
                <w:szCs w:val="28"/>
              </w:rPr>
            </w:pPr>
            <w:r w:rsidRPr="00EC7A54">
              <w:rPr>
                <w:rFonts w:ascii="Times New Roman" w:hAnsi="Times New Roman"/>
                <w:sz w:val="28"/>
                <w:szCs w:val="28"/>
              </w:rPr>
              <w:t xml:space="preserve"> </w:t>
            </w:r>
          </w:p>
          <w:p w:rsidR="007D39AB" w:rsidRPr="00EC7A54" w:rsidRDefault="007D39AB" w:rsidP="000424A4">
            <w:pPr>
              <w:autoSpaceDE w:val="0"/>
              <w:autoSpaceDN w:val="0"/>
              <w:adjustRightInd w:val="0"/>
              <w:spacing w:after="0" w:line="360" w:lineRule="auto"/>
              <w:ind w:firstLine="176"/>
              <w:jc w:val="center"/>
              <w:rPr>
                <w:rFonts w:ascii="Times New Roman" w:hAnsi="Times New Roman"/>
                <w:sz w:val="28"/>
                <w:szCs w:val="28"/>
              </w:rPr>
            </w:pPr>
          </w:p>
          <w:p w:rsidR="007D39AB" w:rsidRPr="00EC7A54" w:rsidRDefault="007D39AB" w:rsidP="000424A4">
            <w:pPr>
              <w:autoSpaceDE w:val="0"/>
              <w:autoSpaceDN w:val="0"/>
              <w:adjustRightInd w:val="0"/>
              <w:spacing w:after="0" w:line="360" w:lineRule="auto"/>
              <w:ind w:firstLine="176"/>
              <w:jc w:val="center"/>
              <w:rPr>
                <w:rFonts w:ascii="Times New Roman" w:hAnsi="Times New Roman"/>
                <w:sz w:val="28"/>
                <w:szCs w:val="28"/>
              </w:rPr>
            </w:pPr>
            <w:r w:rsidRPr="00EC7A54">
              <w:rPr>
                <w:rFonts w:ascii="Times New Roman" w:hAnsi="Times New Roman"/>
                <w:sz w:val="28"/>
                <w:szCs w:val="28"/>
              </w:rPr>
              <w:t>4,2</w:t>
            </w:r>
          </w:p>
        </w:tc>
        <w:tc>
          <w:tcPr>
            <w:tcW w:w="851" w:type="dxa"/>
            <w:tcBorders>
              <w:top w:val="single" w:sz="4" w:space="0" w:color="auto"/>
              <w:left w:val="single" w:sz="4" w:space="0" w:color="auto"/>
              <w:bottom w:val="single" w:sz="4" w:space="0" w:color="auto"/>
              <w:right w:val="single" w:sz="4" w:space="0" w:color="auto"/>
            </w:tcBorders>
          </w:tcPr>
          <w:p w:rsidR="007D39AB" w:rsidRPr="006E1F3D" w:rsidRDefault="007D39AB" w:rsidP="000424A4">
            <w:pPr>
              <w:autoSpaceDE w:val="0"/>
              <w:autoSpaceDN w:val="0"/>
              <w:adjustRightInd w:val="0"/>
              <w:spacing w:after="0" w:line="360" w:lineRule="auto"/>
              <w:ind w:firstLine="34"/>
              <w:jc w:val="center"/>
              <w:rPr>
                <w:rFonts w:ascii="Times New Roman" w:hAnsi="Times New Roman"/>
                <w:sz w:val="28"/>
                <w:szCs w:val="28"/>
              </w:rPr>
            </w:pPr>
          </w:p>
          <w:p w:rsidR="007D39AB" w:rsidRPr="00EC7A54" w:rsidRDefault="007D39AB" w:rsidP="000424A4">
            <w:pPr>
              <w:autoSpaceDE w:val="0"/>
              <w:autoSpaceDN w:val="0"/>
              <w:adjustRightInd w:val="0"/>
              <w:spacing w:after="0" w:line="360" w:lineRule="auto"/>
              <w:ind w:firstLine="34"/>
              <w:jc w:val="center"/>
              <w:rPr>
                <w:rFonts w:ascii="Times New Roman" w:hAnsi="Times New Roman"/>
                <w:sz w:val="28"/>
                <w:szCs w:val="28"/>
              </w:rPr>
            </w:pPr>
          </w:p>
          <w:p w:rsidR="007D39AB" w:rsidRPr="00EC7A54" w:rsidRDefault="007D39AB" w:rsidP="000424A4">
            <w:pPr>
              <w:autoSpaceDE w:val="0"/>
              <w:autoSpaceDN w:val="0"/>
              <w:adjustRightInd w:val="0"/>
              <w:spacing w:after="0" w:line="360" w:lineRule="auto"/>
              <w:ind w:firstLine="34"/>
              <w:jc w:val="center"/>
              <w:rPr>
                <w:rFonts w:ascii="Times New Roman" w:hAnsi="Times New Roman"/>
                <w:sz w:val="28"/>
                <w:szCs w:val="28"/>
              </w:rPr>
            </w:pPr>
            <w:r w:rsidRPr="00EC7A54">
              <w:rPr>
                <w:rFonts w:ascii="Times New Roman" w:hAnsi="Times New Roman"/>
                <w:sz w:val="28"/>
                <w:szCs w:val="28"/>
              </w:rPr>
              <w:t xml:space="preserve">4,1 </w:t>
            </w:r>
          </w:p>
        </w:tc>
        <w:tc>
          <w:tcPr>
            <w:tcW w:w="1134" w:type="dxa"/>
            <w:tcBorders>
              <w:top w:val="single" w:sz="4" w:space="0" w:color="auto"/>
              <w:left w:val="single" w:sz="4" w:space="0" w:color="auto"/>
              <w:bottom w:val="single" w:sz="4" w:space="0" w:color="auto"/>
              <w:right w:val="single" w:sz="4" w:space="0" w:color="auto"/>
            </w:tcBorders>
          </w:tcPr>
          <w:p w:rsidR="007D39AB" w:rsidRPr="006E1F3D"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 xml:space="preserve"> </w:t>
            </w:r>
          </w:p>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p>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4,1</w:t>
            </w:r>
          </w:p>
        </w:tc>
        <w:tc>
          <w:tcPr>
            <w:tcW w:w="1134" w:type="dxa"/>
            <w:tcBorders>
              <w:top w:val="single" w:sz="4" w:space="0" w:color="auto"/>
              <w:left w:val="single" w:sz="4" w:space="0" w:color="auto"/>
              <w:bottom w:val="single" w:sz="4" w:space="0" w:color="auto"/>
              <w:right w:val="single" w:sz="4" w:space="0" w:color="auto"/>
            </w:tcBorders>
          </w:tcPr>
          <w:p w:rsidR="007D39AB" w:rsidRPr="006E1F3D"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 xml:space="preserve"> </w:t>
            </w:r>
          </w:p>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p>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4,0</w:t>
            </w:r>
          </w:p>
        </w:tc>
        <w:tc>
          <w:tcPr>
            <w:tcW w:w="968" w:type="dxa"/>
            <w:tcBorders>
              <w:top w:val="single" w:sz="4" w:space="0" w:color="auto"/>
              <w:left w:val="single" w:sz="4" w:space="0" w:color="auto"/>
              <w:bottom w:val="single" w:sz="4" w:space="0" w:color="auto"/>
            </w:tcBorders>
          </w:tcPr>
          <w:p w:rsidR="007D39AB" w:rsidRPr="006E1F3D" w:rsidRDefault="007D39AB" w:rsidP="000424A4">
            <w:pPr>
              <w:autoSpaceDE w:val="0"/>
              <w:autoSpaceDN w:val="0"/>
              <w:adjustRightInd w:val="0"/>
              <w:spacing w:after="0" w:line="360" w:lineRule="auto"/>
              <w:ind w:right="-288" w:firstLine="33"/>
              <w:rPr>
                <w:rFonts w:ascii="Times New Roman" w:hAnsi="Times New Roman"/>
                <w:sz w:val="28"/>
                <w:szCs w:val="28"/>
              </w:rPr>
            </w:pPr>
            <w:r w:rsidRPr="00EC7A54">
              <w:rPr>
                <w:rFonts w:ascii="Times New Roman" w:hAnsi="Times New Roman"/>
                <w:sz w:val="28"/>
                <w:szCs w:val="28"/>
              </w:rPr>
              <w:t xml:space="preserve"> </w:t>
            </w:r>
          </w:p>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p>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4,0</w:t>
            </w:r>
          </w:p>
        </w:tc>
      </w:tr>
      <w:tr w:rsidR="007D39AB" w:rsidRPr="00EC7A54" w:rsidTr="000424A4">
        <w:tc>
          <w:tcPr>
            <w:tcW w:w="540"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360" w:lineRule="auto"/>
              <w:ind w:left="72" w:firstLine="567"/>
              <w:jc w:val="center"/>
              <w:rPr>
                <w:rFonts w:ascii="Times New Roman" w:hAnsi="Times New Roman"/>
                <w:sz w:val="28"/>
                <w:szCs w:val="28"/>
              </w:rPr>
            </w:pPr>
            <w:r w:rsidRPr="00EC7A54">
              <w:rPr>
                <w:rFonts w:ascii="Times New Roman" w:hAnsi="Times New Roman"/>
                <w:sz w:val="28"/>
                <w:szCs w:val="28"/>
              </w:rPr>
              <w:t>22.</w:t>
            </w:r>
          </w:p>
        </w:tc>
        <w:tc>
          <w:tcPr>
            <w:tcW w:w="4640"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240" w:lineRule="auto"/>
              <w:ind w:left="72" w:firstLine="567"/>
              <w:rPr>
                <w:rFonts w:ascii="Times New Roman" w:hAnsi="Times New Roman"/>
                <w:sz w:val="28"/>
                <w:szCs w:val="28"/>
              </w:rPr>
            </w:pPr>
            <w:r w:rsidRPr="00EC7A54">
              <w:rPr>
                <w:rFonts w:ascii="Times New Roman" w:hAnsi="Times New Roman"/>
                <w:sz w:val="28"/>
                <w:szCs w:val="28"/>
              </w:rPr>
              <w:t xml:space="preserve">численность населения (семей), получившего жилые помещения и улучшившего жилищные </w:t>
            </w:r>
            <w:r w:rsidRPr="006E2EFA">
              <w:rPr>
                <w:rFonts w:ascii="Times New Roman" w:hAnsi="Times New Roman"/>
                <w:sz w:val="28"/>
                <w:szCs w:val="28"/>
              </w:rPr>
              <w:t xml:space="preserve">условия </w:t>
            </w:r>
            <w:r w:rsidRPr="006E2EFA">
              <w:rPr>
                <w:rFonts w:ascii="Times New Roman" w:hAnsi="Times New Roman"/>
                <w:bCs/>
                <w:sz w:val="28"/>
                <w:szCs w:val="28"/>
              </w:rPr>
              <w:t>по договору социального найма в отчетном году</w:t>
            </w:r>
          </w:p>
        </w:tc>
        <w:tc>
          <w:tcPr>
            <w:tcW w:w="992"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176"/>
              <w:jc w:val="center"/>
              <w:rPr>
                <w:rFonts w:ascii="Times New Roman" w:hAnsi="Times New Roman"/>
                <w:sz w:val="28"/>
                <w:szCs w:val="28"/>
              </w:rPr>
            </w:pPr>
            <w:r w:rsidRPr="00EC7A54">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34"/>
              <w:jc w:val="center"/>
              <w:rPr>
                <w:rFonts w:ascii="Times New Roman" w:hAnsi="Times New Roman"/>
                <w:sz w:val="28"/>
                <w:szCs w:val="28"/>
              </w:rPr>
            </w:pPr>
            <w:r w:rsidRPr="00EC7A54">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5</w:t>
            </w:r>
          </w:p>
        </w:tc>
        <w:tc>
          <w:tcPr>
            <w:tcW w:w="968" w:type="dxa"/>
            <w:tcBorders>
              <w:top w:val="single" w:sz="4" w:space="0" w:color="auto"/>
              <w:left w:val="single" w:sz="4" w:space="0" w:color="auto"/>
              <w:bottom w:val="single" w:sz="4" w:space="0" w:color="auto"/>
            </w:tcBorders>
          </w:tcPr>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5</w:t>
            </w:r>
          </w:p>
        </w:tc>
      </w:tr>
      <w:tr w:rsidR="007D39AB" w:rsidRPr="00EC7A54" w:rsidTr="000424A4">
        <w:tc>
          <w:tcPr>
            <w:tcW w:w="540" w:type="dxa"/>
            <w:tcBorders>
              <w:top w:val="single" w:sz="4" w:space="0" w:color="auto"/>
              <w:bottom w:val="single" w:sz="4" w:space="0" w:color="auto"/>
              <w:right w:val="single" w:sz="4" w:space="0" w:color="auto"/>
            </w:tcBorders>
          </w:tcPr>
          <w:p w:rsidR="007D39AB" w:rsidRPr="00EC7A54" w:rsidRDefault="007D39AB" w:rsidP="006E1F3D">
            <w:pPr>
              <w:autoSpaceDE w:val="0"/>
              <w:autoSpaceDN w:val="0"/>
              <w:adjustRightInd w:val="0"/>
              <w:spacing w:after="0" w:line="360" w:lineRule="auto"/>
              <w:ind w:left="72" w:firstLine="567"/>
              <w:jc w:val="center"/>
              <w:rPr>
                <w:rFonts w:ascii="Times New Roman" w:hAnsi="Times New Roman"/>
                <w:sz w:val="28"/>
                <w:szCs w:val="28"/>
              </w:rPr>
            </w:pPr>
            <w:r w:rsidRPr="00EC7A54">
              <w:rPr>
                <w:rFonts w:ascii="Times New Roman" w:hAnsi="Times New Roman"/>
                <w:sz w:val="28"/>
                <w:szCs w:val="28"/>
              </w:rPr>
              <w:t>33.</w:t>
            </w:r>
          </w:p>
        </w:tc>
        <w:tc>
          <w:tcPr>
            <w:tcW w:w="4640"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240" w:lineRule="auto"/>
              <w:ind w:left="72" w:firstLine="567"/>
              <w:rPr>
                <w:rFonts w:ascii="Times New Roman" w:hAnsi="Times New Roman"/>
                <w:b/>
                <w:bCs/>
                <w:sz w:val="28"/>
                <w:szCs w:val="28"/>
              </w:rPr>
            </w:pPr>
            <w:r w:rsidRPr="00EC7A54">
              <w:rPr>
                <w:rFonts w:ascii="Times New Roman" w:hAnsi="Times New Roman"/>
                <w:sz w:val="28"/>
                <w:szCs w:val="28"/>
              </w:rPr>
              <w:t xml:space="preserve">численность населения (семей), состоящего на учете в качестве нуждающегося в жилых помещениях </w:t>
            </w:r>
            <w:r w:rsidRPr="006E2EFA">
              <w:rPr>
                <w:rFonts w:ascii="Times New Roman" w:hAnsi="Times New Roman"/>
                <w:bCs/>
                <w:sz w:val="28"/>
                <w:szCs w:val="28"/>
              </w:rPr>
              <w:t>по договорам социального найма на конец прошлого года</w:t>
            </w:r>
            <w:r w:rsidRPr="00EC7A54">
              <w:rPr>
                <w:rFonts w:ascii="Times New Roman" w:hAnsi="Times New Roman"/>
                <w:b/>
                <w:bCs/>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176"/>
              <w:jc w:val="center"/>
              <w:rPr>
                <w:rFonts w:ascii="Times New Roman" w:hAnsi="Times New Roman"/>
                <w:sz w:val="28"/>
                <w:szCs w:val="28"/>
              </w:rPr>
            </w:pPr>
            <w:r w:rsidRPr="00EC7A54">
              <w:rPr>
                <w:rFonts w:ascii="Times New Roman" w:hAnsi="Times New Roman"/>
                <w:sz w:val="28"/>
                <w:szCs w:val="28"/>
              </w:rPr>
              <w:t>120</w:t>
            </w:r>
          </w:p>
        </w:tc>
        <w:tc>
          <w:tcPr>
            <w:tcW w:w="851"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34"/>
              <w:jc w:val="center"/>
              <w:rPr>
                <w:rFonts w:ascii="Times New Roman" w:hAnsi="Times New Roman"/>
                <w:sz w:val="28"/>
                <w:szCs w:val="28"/>
              </w:rPr>
            </w:pPr>
            <w:r w:rsidRPr="00EC7A54">
              <w:rPr>
                <w:rFonts w:ascii="Times New Roman" w:hAnsi="Times New Roman"/>
                <w:sz w:val="28"/>
                <w:szCs w:val="28"/>
              </w:rPr>
              <w:t>122</w:t>
            </w:r>
          </w:p>
        </w:tc>
        <w:tc>
          <w:tcPr>
            <w:tcW w:w="1134"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123</w:t>
            </w:r>
          </w:p>
        </w:tc>
        <w:tc>
          <w:tcPr>
            <w:tcW w:w="1134" w:type="dxa"/>
            <w:tcBorders>
              <w:top w:val="single" w:sz="4" w:space="0" w:color="auto"/>
              <w:left w:val="single" w:sz="4" w:space="0" w:color="auto"/>
              <w:bottom w:val="single" w:sz="4" w:space="0" w:color="auto"/>
              <w:right w:val="single" w:sz="4" w:space="0" w:color="auto"/>
            </w:tcBorders>
          </w:tcPr>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125</w:t>
            </w:r>
          </w:p>
        </w:tc>
        <w:tc>
          <w:tcPr>
            <w:tcW w:w="968" w:type="dxa"/>
            <w:tcBorders>
              <w:top w:val="single" w:sz="4" w:space="0" w:color="auto"/>
              <w:left w:val="single" w:sz="4" w:space="0" w:color="auto"/>
              <w:bottom w:val="single" w:sz="4" w:space="0" w:color="auto"/>
            </w:tcBorders>
          </w:tcPr>
          <w:p w:rsidR="007D39AB" w:rsidRPr="00EC7A54" w:rsidRDefault="007D39AB" w:rsidP="000424A4">
            <w:pPr>
              <w:autoSpaceDE w:val="0"/>
              <w:autoSpaceDN w:val="0"/>
              <w:adjustRightInd w:val="0"/>
              <w:spacing w:after="0" w:line="360" w:lineRule="auto"/>
              <w:ind w:firstLine="33"/>
              <w:jc w:val="center"/>
              <w:rPr>
                <w:rFonts w:ascii="Times New Roman" w:hAnsi="Times New Roman"/>
                <w:sz w:val="28"/>
                <w:szCs w:val="28"/>
              </w:rPr>
            </w:pPr>
            <w:r w:rsidRPr="00EC7A54">
              <w:rPr>
                <w:rFonts w:ascii="Times New Roman" w:hAnsi="Times New Roman"/>
                <w:sz w:val="28"/>
                <w:szCs w:val="28"/>
              </w:rPr>
              <w:t>127</w:t>
            </w:r>
          </w:p>
        </w:tc>
      </w:tr>
    </w:tbl>
    <w:p w:rsidR="007D39AB" w:rsidRPr="006E1F3D" w:rsidRDefault="007D39AB" w:rsidP="006E1F3D">
      <w:pPr>
        <w:tabs>
          <w:tab w:val="left" w:pos="709"/>
        </w:tabs>
        <w:autoSpaceDE w:val="0"/>
        <w:autoSpaceDN w:val="0"/>
        <w:adjustRightInd w:val="0"/>
        <w:spacing w:after="0" w:line="240" w:lineRule="auto"/>
        <w:ind w:firstLine="567"/>
        <w:jc w:val="both"/>
        <w:rPr>
          <w:rFonts w:ascii="Times New Roman" w:hAnsi="Times New Roman"/>
          <w:b/>
          <w:bCs/>
          <w:sz w:val="28"/>
          <w:szCs w:val="28"/>
        </w:rPr>
      </w:pPr>
    </w:p>
    <w:p w:rsidR="007D39AB" w:rsidRPr="006E1F3D" w:rsidRDefault="007D39AB" w:rsidP="006E1F3D">
      <w:pPr>
        <w:tabs>
          <w:tab w:val="left" w:pos="709"/>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b/>
          <w:bCs/>
          <w:sz w:val="28"/>
          <w:szCs w:val="28"/>
        </w:rPr>
        <w:t xml:space="preserve"> </w:t>
      </w:r>
      <w:r w:rsidRPr="006E1F3D">
        <w:rPr>
          <w:rFonts w:ascii="Times New Roman" w:hAnsi="Times New Roman"/>
          <w:sz w:val="28"/>
          <w:szCs w:val="28"/>
        </w:rPr>
        <w:t xml:space="preserve">В перспективе  на 2016-2018  годы  предоставления жилых помещений по договорам социального найма  в год </w:t>
      </w:r>
      <w:r w:rsidRPr="006E1F3D">
        <w:rPr>
          <w:rFonts w:ascii="Times New Roman" w:hAnsi="Times New Roman"/>
          <w:sz w:val="28"/>
          <w:szCs w:val="28"/>
          <w:highlight w:val="white"/>
        </w:rPr>
        <w:t xml:space="preserve">по  пять  помещений (т. е  пять семей).                          </w:t>
      </w:r>
    </w:p>
    <w:p w:rsidR="007D39AB" w:rsidRPr="006E1F3D" w:rsidRDefault="007D39AB" w:rsidP="006E1F3D">
      <w:pPr>
        <w:ind w:firstLine="567"/>
        <w:jc w:val="both"/>
        <w:rPr>
          <w:rFonts w:ascii="Times New Roman" w:hAnsi="Times New Roman"/>
          <w:sz w:val="28"/>
          <w:szCs w:val="28"/>
        </w:rPr>
      </w:pPr>
      <w:r w:rsidRPr="006E1F3D">
        <w:rPr>
          <w:rFonts w:ascii="Times New Roman" w:hAnsi="Times New Roman"/>
          <w:sz w:val="28"/>
          <w:szCs w:val="28"/>
        </w:rPr>
        <w:t xml:space="preserve">Постановка на учет в качестве нуждающихся в жилых помещениях по договорам социального найма, относится к полномочиям сельских поселений.  Доля населения, получившего жилые помещения и улучшившего жилищные условия, в 2014 году,  в общей численности населения, состоящего на учете в качестве нуждающегося в жилых помещениях,  составила 4,2%. Ранее ошибочно был указан показатель  4,0 %  из-за  некорректно  представленной информации сельскими поселениями. </w:t>
      </w:r>
    </w:p>
    <w:p w:rsidR="007D39AB"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lang w:val="en-US"/>
        </w:rPr>
        <w:t>VIII</w:t>
      </w:r>
      <w:r w:rsidRPr="006E1F3D">
        <w:rPr>
          <w:rFonts w:ascii="Times New Roman" w:hAnsi="Times New Roman"/>
          <w:b/>
          <w:bCs/>
          <w:color w:val="000000"/>
          <w:sz w:val="28"/>
          <w:szCs w:val="28"/>
        </w:rPr>
        <w:t>. Организация муниципального управления</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7D39AB" w:rsidRPr="006E1F3D" w:rsidRDefault="007D39AB" w:rsidP="006E1F3D">
      <w:pPr>
        <w:autoSpaceDE w:val="0"/>
        <w:autoSpaceDN w:val="0"/>
        <w:adjustRightInd w:val="0"/>
        <w:spacing w:after="0"/>
        <w:ind w:right="-143" w:firstLine="567"/>
        <w:jc w:val="both"/>
        <w:rPr>
          <w:rFonts w:ascii="Times New Roman" w:hAnsi="Times New Roman"/>
          <w:sz w:val="28"/>
          <w:szCs w:val="28"/>
        </w:rPr>
      </w:pPr>
      <w:r w:rsidRPr="006E1F3D">
        <w:rPr>
          <w:rFonts w:ascii="Times New Roman" w:hAnsi="Times New Roman"/>
          <w:sz w:val="28"/>
          <w:szCs w:val="28"/>
        </w:rPr>
        <w:t>Собственные доходы бюджета в 2015 году сложились исходя из изменений налогового и бюджетного законодательства.</w:t>
      </w:r>
    </w:p>
    <w:p w:rsidR="007D39AB" w:rsidRPr="006E1F3D" w:rsidRDefault="007D39AB" w:rsidP="006E1F3D">
      <w:pPr>
        <w:autoSpaceDE w:val="0"/>
        <w:autoSpaceDN w:val="0"/>
        <w:adjustRightInd w:val="0"/>
        <w:spacing w:after="0"/>
        <w:ind w:right="-143" w:firstLine="567"/>
        <w:jc w:val="both"/>
        <w:rPr>
          <w:rFonts w:ascii="Times New Roman" w:hAnsi="Times New Roman"/>
          <w:sz w:val="28"/>
          <w:szCs w:val="28"/>
        </w:rPr>
      </w:pPr>
      <w:r w:rsidRPr="006E1F3D">
        <w:rPr>
          <w:rFonts w:ascii="Times New Roman" w:hAnsi="Times New Roman"/>
          <w:sz w:val="28"/>
          <w:szCs w:val="28"/>
        </w:rPr>
        <w:t>По доле налоговых и неналоговых доходов местного бюджета в общем объеме собственных доходов бюджета муниципального образования (без учета субвенций) уменьшилась  в 2015 по сравнению с 2014 годом с 57,47 % на 53,83%. Понижение доли налоговых и неналоговых доходов произошло за счет увеличения поступлений по субсидиям, как так была получена субсидия бюджетам муниципальных образований на введение дополнительных мест в системе дошкольного образования детей посредством строительства, реконструкции и капитального ремонта зданий муниципальных образовательных организаций, приобретения зданий и помещений, а также оборудования и мебели для создания условий, позволяющих реализовать образовательную программу дошкольного образования детей в сумме 38151,5 тыс.рублей.</w:t>
      </w:r>
    </w:p>
    <w:p w:rsidR="007D39AB" w:rsidRPr="006E1F3D" w:rsidRDefault="007D39AB" w:rsidP="006E1F3D">
      <w:pPr>
        <w:autoSpaceDE w:val="0"/>
        <w:autoSpaceDN w:val="0"/>
        <w:adjustRightInd w:val="0"/>
        <w:spacing w:after="0"/>
        <w:ind w:right="-143" w:firstLine="567"/>
        <w:jc w:val="both"/>
        <w:rPr>
          <w:rFonts w:ascii="Times New Roman" w:hAnsi="Times New Roman"/>
          <w:sz w:val="28"/>
          <w:szCs w:val="28"/>
        </w:rPr>
      </w:pPr>
      <w:r w:rsidRPr="006E1F3D">
        <w:rPr>
          <w:rFonts w:ascii="Times New Roman" w:hAnsi="Times New Roman"/>
          <w:sz w:val="28"/>
          <w:szCs w:val="28"/>
        </w:rPr>
        <w:t>Доходная часть бюджета на 2016 год и плановый период 2017-2018 годов спрогнозирована исходя из данных МРИ ФНС № 4 по Красноярскому краю и предполагаемого уровня инфляции.</w:t>
      </w:r>
    </w:p>
    <w:p w:rsidR="007D39AB" w:rsidRPr="006E1F3D" w:rsidRDefault="007D39AB" w:rsidP="006E1F3D">
      <w:pPr>
        <w:autoSpaceDE w:val="0"/>
        <w:autoSpaceDN w:val="0"/>
        <w:adjustRightInd w:val="0"/>
        <w:spacing w:after="0"/>
        <w:ind w:right="-143" w:firstLine="567"/>
        <w:jc w:val="both"/>
        <w:rPr>
          <w:rFonts w:ascii="Times New Roman" w:hAnsi="Times New Roman"/>
          <w:sz w:val="28"/>
          <w:szCs w:val="28"/>
        </w:rPr>
      </w:pPr>
      <w:r w:rsidRPr="006E1F3D">
        <w:rPr>
          <w:rFonts w:ascii="Times New Roman" w:hAnsi="Times New Roman"/>
          <w:sz w:val="28"/>
          <w:szCs w:val="28"/>
        </w:rPr>
        <w:t xml:space="preserve"> Доля налоговых и неналоговых доходов в общем объеме собственных доходов бюджета муниципального образования в 2016 году в сравнении с 2015 годом  возрастет с 53,83 %  до  59,17%.</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На территории района по состоянию на 01.01.2016 год отсутствуют организации муниципальной формы собственности, находящиеся в стадии банкротства.</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Не завершенного в установленные сроки строительства, осуществляемого за  счет средств бюджета Большеулуйского района, нет.  </w:t>
      </w:r>
    </w:p>
    <w:p w:rsidR="007D39AB" w:rsidRPr="006E1F3D" w:rsidRDefault="007D39AB" w:rsidP="006E1F3D">
      <w:pPr>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Кредиторской задолженности по оплате труда (включая начисления на оплату труда) в муниципальных бюджетных учреждениях за анализируемый период нет. В дальнейшем так же планируется недопущение образования кредиторской задолженности по оплате труда (включая начисления на оплату труда).</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7D39AB" w:rsidRPr="006E1F3D" w:rsidRDefault="007D39AB" w:rsidP="006E1F3D">
      <w:pPr>
        <w:autoSpaceDE w:val="0"/>
        <w:autoSpaceDN w:val="0"/>
        <w:adjustRightInd w:val="0"/>
        <w:ind w:right="-143" w:firstLine="567"/>
        <w:jc w:val="both"/>
        <w:rPr>
          <w:rFonts w:ascii="Times New Roman" w:hAnsi="Times New Roman"/>
          <w:sz w:val="28"/>
          <w:szCs w:val="28"/>
        </w:rPr>
      </w:pPr>
      <w:r w:rsidRPr="006E1F3D">
        <w:rPr>
          <w:rFonts w:ascii="Times New Roman" w:hAnsi="Times New Roman"/>
          <w:sz w:val="28"/>
          <w:szCs w:val="28"/>
        </w:rPr>
        <w:t>Расходы на содержание органов местного самоуправления в 2015 году в расчете на одного жителя района составили 5711,11 рубля. Уменьшение расходов на одного жителя по отношению к 2014 году составило 4,5% в связи с оптимизацией расходов на аппарат управления. Расходы на 2016 год и последующие периоды спрогнозированы, исходя из приоритетов бюджетной и налоговой политики, базируясь на уровень инфляции.</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7D39AB"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Решением Совета депутатов Большеулуйского сельсовета от 20.12.2011г. № 96 утвержден генеральный план села Большой Улуй. Утверждены  на  9 сельских поселений Правила землепользования и застройки, разработанные в 2012 году ТГИ «Красноярскгражданпроектом».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p>
    <w:p w:rsidR="007D39AB" w:rsidRPr="006E1F3D" w:rsidRDefault="007D39AB" w:rsidP="006E2EFA">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37. Удовлетворенность населения деятельностью местного самоуправления городского округа (муниципального района)</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Независимый опрос населения в городских округах и муниципальных районах Красноярского края, проведенный   в феврале-марте 2016года  показал, что уровень удовлетворенности населения деятельностью органов местного самоуправления  Большеулуйского района  в 2015 году  составил 64,1 % от числа опрошенных.</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38. Среднегодовая численность постоянного населения</w:t>
      </w:r>
    </w:p>
    <w:p w:rsidR="007D39AB" w:rsidRPr="006E1F3D" w:rsidRDefault="007D39AB" w:rsidP="006E1F3D">
      <w:pPr>
        <w:tabs>
          <w:tab w:val="left" w:pos="720"/>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color w:val="000000"/>
          <w:kern w:val="1"/>
          <w:sz w:val="28"/>
          <w:szCs w:val="28"/>
        </w:rPr>
        <w:t xml:space="preserve">Среднегодовая численность постоянного населения в 2015 году составила 7,764 тыс. человек, </w:t>
      </w:r>
      <w:r w:rsidRPr="006E1F3D">
        <w:rPr>
          <w:rFonts w:ascii="Times New Roman" w:hAnsi="Times New Roman"/>
          <w:sz w:val="28"/>
          <w:szCs w:val="28"/>
        </w:rPr>
        <w:t xml:space="preserve">52,8  % населения составляют женщины и 47,2 % - мужчины. </w:t>
      </w:r>
    </w:p>
    <w:p w:rsidR="007D39AB" w:rsidRPr="006E1F3D" w:rsidRDefault="007D39AB" w:rsidP="006E1F3D">
      <w:pPr>
        <w:autoSpaceDE w:val="0"/>
        <w:autoSpaceDN w:val="0"/>
        <w:adjustRightInd w:val="0"/>
        <w:spacing w:after="0" w:line="240" w:lineRule="auto"/>
        <w:ind w:firstLine="567"/>
        <w:jc w:val="both"/>
        <w:rPr>
          <w:rFonts w:ascii="Times New Roman" w:hAnsi="Times New Roman"/>
          <w:color w:val="000000"/>
          <w:kern w:val="1"/>
          <w:sz w:val="28"/>
          <w:szCs w:val="28"/>
        </w:rPr>
      </w:pPr>
      <w:r w:rsidRPr="006E1F3D">
        <w:rPr>
          <w:rFonts w:ascii="Times New Roman" w:hAnsi="Times New Roman"/>
          <w:color w:val="000000"/>
          <w:kern w:val="1"/>
          <w:sz w:val="28"/>
          <w:szCs w:val="28"/>
        </w:rPr>
        <w:t xml:space="preserve">Численность населения на начало 2015 года составила 7,800 тыс. чел., на конец года - 7,728 тыс. человек.  На снижение численности населения   повлияла как естественная убыль населения -48 чел., так и миграционное снижение -24 чел.  </w:t>
      </w:r>
    </w:p>
    <w:p w:rsidR="007D39AB" w:rsidRPr="006E1F3D" w:rsidRDefault="007D39AB" w:rsidP="006E1F3D">
      <w:pPr>
        <w:tabs>
          <w:tab w:val="left" w:pos="720"/>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Численность родившихся за 2015 год составило 100 человек.  На каждую 1000 человек населения приходится 12 рожденных. Численность умерших за год составило 148 человек.</w:t>
      </w:r>
    </w:p>
    <w:p w:rsidR="007D39AB" w:rsidRPr="006E1F3D" w:rsidRDefault="007D39AB" w:rsidP="006E1F3D">
      <w:pPr>
        <w:tabs>
          <w:tab w:val="left" w:pos="720"/>
        </w:tabs>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color w:val="000000"/>
          <w:kern w:val="1"/>
          <w:sz w:val="28"/>
          <w:szCs w:val="28"/>
        </w:rPr>
        <w:t>Проводя анализ данного показателя за  ряд лет, среднегодовая численность населения Большеулуйского района спрогнозирована следующим образом: по оценке 2016 года - 7,709 тыс. чел., по прогнозу 2017-2018 гг. - 7,675 и 7,651 тыс. чел. соответственно.</w:t>
      </w:r>
    </w:p>
    <w:p w:rsidR="007D39AB" w:rsidRPr="006E1F3D" w:rsidRDefault="007D39AB" w:rsidP="006E1F3D">
      <w:pPr>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lang w:val="en-US"/>
        </w:rPr>
        <w:t>IX</w:t>
      </w:r>
      <w:r w:rsidRPr="006E1F3D">
        <w:rPr>
          <w:rFonts w:ascii="Times New Roman" w:hAnsi="Times New Roman"/>
          <w:b/>
          <w:bCs/>
          <w:color w:val="000000"/>
          <w:sz w:val="28"/>
          <w:szCs w:val="28"/>
        </w:rPr>
        <w:t>. Энергосбережение и повышение энергетической эффективности</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39. Удельная величина потребления энергетических ресурсов (электрическая и тепловая энергия, вода, природный газ) в многоквартирных домах</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Удельная величина потребления энергетических ресурсов в многоквартирных домах (МКД и дома блокированной застройки) составила:</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 электрическая энергия  в отчетном 2015 году - </w:t>
      </w:r>
      <w:r w:rsidRPr="006E2EFA">
        <w:rPr>
          <w:rFonts w:ascii="Times New Roman" w:hAnsi="Times New Roman"/>
          <w:sz w:val="28"/>
          <w:szCs w:val="28"/>
        </w:rPr>
        <w:t>823,</w:t>
      </w:r>
      <w:r w:rsidRPr="006E1F3D">
        <w:rPr>
          <w:rFonts w:ascii="Times New Roman" w:hAnsi="Times New Roman"/>
          <w:sz w:val="28"/>
          <w:szCs w:val="28"/>
        </w:rPr>
        <w:t xml:space="preserve">0 кВ/ч на 1 проживающего. Показатель в 2015 году  остался на уровне 2014 года, так как потребительский рынок насыщен бытовыми электроприборами (стиральные машинки,  моющие машинки и т.д.).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 тепловая энергия в 2015 году    составила 0,39 Гкал на 1 кв.м.,  общей площади,  показатель остался на уровне прошлого года, общее потребление  тепловой энергии  в 2015 году составило 2008,0Гкал-площадь многоквартирных домов 5170,0 кв.м.</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 холодная вода в 2015 году объем потребление 8884,1 куб.м проживающих 730 человек , потребление на 1 человека составило 12,17 куб.м , уменьшение на 1% по сравнению с 2014 годом, за счет установки приборов учета, на период 2016-2018 гг. прогнозируется снижение показателя на 1% ежегодно. </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Установка  индивидуальных (поквартирных) приборов учета, дает положительный результат в исполнении Федерального Закона № 261-ФЗ т 23 ноября 2009г.</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6E1F3D">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6E1F3D">
        <w:rPr>
          <w:rFonts w:ascii="Times New Roman" w:hAnsi="Times New Roman"/>
          <w:sz w:val="28"/>
          <w:szCs w:val="28"/>
        </w:rPr>
        <w:t xml:space="preserve"> </w:t>
      </w:r>
      <w:r w:rsidRPr="006E1F3D">
        <w:rPr>
          <w:rFonts w:ascii="Times New Roman" w:hAnsi="Times New Roman"/>
          <w:b/>
          <w:bCs/>
          <w:color w:val="000000"/>
          <w:sz w:val="28"/>
          <w:szCs w:val="28"/>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Удельная величина потребления энергетических ресурсов муниципальными бюджетными учреждениями:</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электрическая энергия в 2014 году – 627,81 кВ/ч. на 1 человека населения, в отчетном 2015 году – 621,53 кВ/ч на 1 человека населения, уменьшение показателя  в отчетном году  составляет  1% по  сравнению с прошлым годом, на плановый период 2016-2018 гг. ожидается снижение  по 1% каждый год, уменьшение  за счет</w:t>
      </w:r>
      <w:r w:rsidRPr="006E1F3D">
        <w:rPr>
          <w:rFonts w:ascii="Times New Roman" w:hAnsi="Times New Roman"/>
          <w:sz w:val="28"/>
          <w:szCs w:val="28"/>
        </w:rPr>
        <w:tab/>
        <w:t>замены ламп накаливания на более экономичные источники освещения;</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тепловая энергия в 2015 году – 0,25 Гкал на 1 кв.м. общей площади, показатель остался на уровне 2014года;</w:t>
      </w:r>
    </w:p>
    <w:p w:rsidR="007D39AB" w:rsidRPr="006E1F3D" w:rsidRDefault="007D39AB" w:rsidP="006E1F3D">
      <w:pPr>
        <w:autoSpaceDE w:val="0"/>
        <w:autoSpaceDN w:val="0"/>
        <w:adjustRightInd w:val="0"/>
        <w:spacing w:after="0" w:line="240" w:lineRule="auto"/>
        <w:ind w:firstLine="567"/>
        <w:jc w:val="both"/>
        <w:rPr>
          <w:rFonts w:ascii="Times New Roman" w:hAnsi="Times New Roman"/>
          <w:sz w:val="28"/>
          <w:szCs w:val="28"/>
        </w:rPr>
      </w:pPr>
      <w:r w:rsidRPr="006E1F3D">
        <w:rPr>
          <w:rFonts w:ascii="Times New Roman" w:hAnsi="Times New Roman"/>
          <w:sz w:val="28"/>
          <w:szCs w:val="28"/>
        </w:rPr>
        <w:t xml:space="preserve">- холодная вода в 2015 году составила 1,25 куб.м. на 1 человека населения, в 2014 году -1,35 куб.м., уменьшение за счет установки приборов учета. </w:t>
      </w: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p>
    <w:p w:rsidR="007D39AB" w:rsidRPr="006E1F3D" w:rsidRDefault="007D39AB" w:rsidP="006E1F3D">
      <w:pPr>
        <w:widowControl w:val="0"/>
        <w:autoSpaceDE w:val="0"/>
        <w:autoSpaceDN w:val="0"/>
        <w:adjustRightInd w:val="0"/>
        <w:spacing w:after="0" w:line="240" w:lineRule="auto"/>
        <w:ind w:firstLine="567"/>
        <w:rPr>
          <w:rFonts w:ascii="Times New Roman" w:hAnsi="Times New Roman"/>
          <w:sz w:val="28"/>
          <w:szCs w:val="28"/>
        </w:rPr>
      </w:pPr>
      <w:r w:rsidRPr="006E1F3D">
        <w:rPr>
          <w:rFonts w:ascii="Times New Roman" w:hAnsi="Times New Roman"/>
          <w:sz w:val="28"/>
          <w:szCs w:val="28"/>
        </w:rPr>
        <w:t xml:space="preserve"> </w:t>
      </w:r>
    </w:p>
    <w:p w:rsidR="007D39AB" w:rsidRPr="006E1F3D" w:rsidRDefault="007D39AB" w:rsidP="00F22F9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Большеулуйского района                                                            С.А. Любкин</w:t>
      </w:r>
    </w:p>
    <w:sectPr w:rsidR="007D39AB" w:rsidRPr="006E1F3D" w:rsidSect="00482884">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F73"/>
    <w:rsid w:val="000424A4"/>
    <w:rsid w:val="00083717"/>
    <w:rsid w:val="000C18E2"/>
    <w:rsid w:val="001140F1"/>
    <w:rsid w:val="00172C99"/>
    <w:rsid w:val="00222F73"/>
    <w:rsid w:val="002A695F"/>
    <w:rsid w:val="003720EF"/>
    <w:rsid w:val="003B1B79"/>
    <w:rsid w:val="004138C0"/>
    <w:rsid w:val="00482884"/>
    <w:rsid w:val="00485474"/>
    <w:rsid w:val="004D69E7"/>
    <w:rsid w:val="00500575"/>
    <w:rsid w:val="00552717"/>
    <w:rsid w:val="00607AF1"/>
    <w:rsid w:val="00624574"/>
    <w:rsid w:val="006B2716"/>
    <w:rsid w:val="006E1F3D"/>
    <w:rsid w:val="006E2EFA"/>
    <w:rsid w:val="0075407F"/>
    <w:rsid w:val="0077167F"/>
    <w:rsid w:val="007D39AB"/>
    <w:rsid w:val="00851FB5"/>
    <w:rsid w:val="009615B5"/>
    <w:rsid w:val="009D55ED"/>
    <w:rsid w:val="00BF6627"/>
    <w:rsid w:val="00C001AD"/>
    <w:rsid w:val="00EA753F"/>
    <w:rsid w:val="00EB4C54"/>
    <w:rsid w:val="00EC7A54"/>
    <w:rsid w:val="00ED2D37"/>
    <w:rsid w:val="00EF3095"/>
    <w:rsid w:val="00F22F9A"/>
    <w:rsid w:val="00FD57F7"/>
    <w:rsid w:val="00FE18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84"/>
    <w:pPr>
      <w:spacing w:after="200" w:line="276" w:lineRule="auto"/>
    </w:pPr>
  </w:style>
  <w:style w:type="paragraph" w:styleId="Heading6">
    <w:name w:val="heading 6"/>
    <w:basedOn w:val="Normal"/>
    <w:next w:val="Normal"/>
    <w:link w:val="Heading6Char"/>
    <w:uiPriority w:val="99"/>
    <w:qFormat/>
    <w:rsid w:val="00222F73"/>
    <w:pPr>
      <w:spacing w:before="240" w:after="60" w:line="240" w:lineRule="auto"/>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22F73"/>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309097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23</Pages>
  <Words>7392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PC-31</dc:creator>
  <cp:keywords/>
  <dc:description/>
  <cp:lastModifiedBy>usr</cp:lastModifiedBy>
  <cp:revision>15</cp:revision>
  <dcterms:created xsi:type="dcterms:W3CDTF">2016-04-28T03:44:00Z</dcterms:created>
  <dcterms:modified xsi:type="dcterms:W3CDTF">2016-04-28T10:38:00Z</dcterms:modified>
</cp:coreProperties>
</file>