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662110, Красноярский край, с.Большой Улуй, ул.Революции,11, каб. 2-11</w:t>
      </w:r>
    </w:p>
    <w:p w:rsidR="004A6F44" w:rsidRPr="004A6F44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E-mail: </w:t>
      </w:r>
      <w:hyperlink r:id="rId8" w:history="1">
        <w:r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ksorg@mail.ru</w:t>
        </w:r>
      </w:hyperlink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телефон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: 8 (39159) 2-14-91</w:t>
      </w:r>
    </w:p>
    <w:tbl>
      <w:tblPr>
        <w:tblW w:w="0" w:type="auto"/>
        <w:tblLook w:val="01E0"/>
      </w:tblPr>
      <w:tblGrid>
        <w:gridCol w:w="9570"/>
      </w:tblGrid>
      <w:tr w:rsidR="004A6F44" w:rsidRPr="00F9435A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F9435A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F9435A" w:rsidTr="004A6F44">
        <w:tc>
          <w:tcPr>
            <w:tcW w:w="9570" w:type="dxa"/>
          </w:tcPr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:rsidR="004A6F44" w:rsidRPr="004A6F44" w:rsidRDefault="004A6F44" w:rsidP="004A6F44">
      <w:pPr>
        <w:widowControl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A46D30" w:rsidRPr="00A46D30" w:rsidRDefault="004A6F44" w:rsidP="00A46D30">
      <w:pPr>
        <w:widowControl/>
        <w:tabs>
          <w:tab w:val="left" w:pos="851"/>
          <w:tab w:val="left" w:pos="1276"/>
        </w:tabs>
        <w:ind w:left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4A6F44">
        <w:rPr>
          <w:rFonts w:ascii="Times New Roman" w:eastAsia="Times New Roman" w:hAnsi="Times New Roman" w:cs="Times New Roman"/>
          <w:color w:val="auto"/>
          <w:lang w:val="en-US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</w:t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   </w:t>
      </w:r>
    </w:p>
    <w:p w:rsidR="004A6F44" w:rsidRPr="00A46D30" w:rsidRDefault="00A46D30" w:rsidP="00F9435A">
      <w:pPr>
        <w:widowControl/>
        <w:tabs>
          <w:tab w:val="left" w:pos="851"/>
          <w:tab w:val="left" w:pos="1276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1083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A6F44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</w:t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="00F943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A6F44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Контрольно-счетного</w:t>
      </w:r>
    </w:p>
    <w:p w:rsidR="004A6F44" w:rsidRPr="00A46D30" w:rsidRDefault="004A6F44" w:rsidP="004A6F44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органа  Большеулуйского  района</w:t>
      </w:r>
    </w:p>
    <w:p w:rsidR="00A46D30" w:rsidRDefault="004A6F44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6207A5">
        <w:rPr>
          <w:rFonts w:ascii="Times New Roman" w:eastAsia="Times New Roman" w:hAnsi="Times New Roman" w:cs="Times New Roman"/>
          <w:color w:val="auto"/>
          <w:sz w:val="28"/>
          <w:szCs w:val="28"/>
        </w:rPr>
        <w:t>«27</w:t>
      </w:r>
      <w:r w:rsidR="000D63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207A5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октября  2014</w:t>
      </w:r>
      <w:r w:rsidR="003F1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bookmarkStart w:id="0" w:name="_GoBack"/>
      <w:bookmarkEnd w:id="0"/>
      <w:r w:rsidR="00F943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46D30" w:rsidRPr="00A46D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6207A5">
        <w:rPr>
          <w:rFonts w:ascii="Times New Roman" w:eastAsia="Times New Roman" w:hAnsi="Times New Roman" w:cs="Times New Roman"/>
          <w:color w:val="auto"/>
          <w:sz w:val="28"/>
          <w:szCs w:val="28"/>
        </w:rPr>
        <w:t>14-р</w:t>
      </w: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tabs>
          <w:tab w:val="left" w:pos="851"/>
          <w:tab w:val="left" w:pos="1276"/>
        </w:tabs>
        <w:rPr>
          <w:rFonts w:ascii="Times New Roman" w:eastAsia="Times New Roman" w:hAnsi="Times New Roman" w:cs="Times New Roman"/>
          <w:color w:val="auto"/>
        </w:rPr>
      </w:pPr>
    </w:p>
    <w:p w:rsid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6D30">
        <w:rPr>
          <w:rFonts w:ascii="Times New Roman" w:hAnsi="Times New Roman" w:cs="Times New Roman"/>
          <w:color w:val="auto"/>
          <w:sz w:val="28"/>
          <w:szCs w:val="28"/>
        </w:rPr>
        <w:t>СТАНДАРТ ВНЕШНЕГО ГОСУДАРСТВЕННОГО ФИНАНСОВОГО КОНТРОЛЯ</w:t>
      </w:r>
    </w:p>
    <w:p w:rsid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6D30" w:rsidRPr="00A46D30" w:rsidRDefault="00A46D30" w:rsidP="00A46D3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3E56" w:rsidRPr="006F3E56" w:rsidRDefault="006F3E56" w:rsidP="006F3E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3E5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СФК 4 «ФИНАНСОВО-ЭКОНОМИЧЕСКАЯ ЭКСПЕРТИЗА</w:t>
      </w:r>
    </w:p>
    <w:p w:rsidR="006F3E56" w:rsidRPr="006F3E56" w:rsidRDefault="006F3E56" w:rsidP="006F3E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3E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РЕШЕНИЯ  О  РАЙОННОМ  БЮДЖЕТЕ</w:t>
      </w:r>
      <w:r w:rsidRPr="006F3E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ОЧЕРЕДНОЙ</w:t>
      </w:r>
    </w:p>
    <w:p w:rsidR="006F3E56" w:rsidRPr="006F3E56" w:rsidRDefault="006F3E56" w:rsidP="006F3E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3E5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ФИНАНСОВЫЙ ГОД И ПЛАНОВЫЙ ПЕРИОД»</w:t>
      </w:r>
    </w:p>
    <w:p w:rsidR="00A46D30" w:rsidRPr="006F3E56" w:rsidRDefault="00A46D30" w:rsidP="006F3E56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Pr="000815E5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0815E5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A46D30" w:rsidRDefault="00A46D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Default="00463830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6F3E56" w:rsidRDefault="006F3E56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6F3E56" w:rsidRPr="000815E5" w:rsidRDefault="006F3E56">
      <w:pPr>
        <w:pStyle w:val="1"/>
        <w:shd w:val="clear" w:color="auto" w:fill="auto"/>
        <w:spacing w:after="194" w:line="240" w:lineRule="exact"/>
        <w:ind w:left="260" w:firstLine="0"/>
        <w:jc w:val="center"/>
      </w:pPr>
    </w:p>
    <w:p w:rsidR="00463830" w:rsidRPr="00A46D30" w:rsidRDefault="004A6F44" w:rsidP="00463830">
      <w:pPr>
        <w:pStyle w:val="1"/>
        <w:shd w:val="clear" w:color="auto" w:fill="auto"/>
        <w:spacing w:after="194" w:line="240" w:lineRule="exact"/>
        <w:ind w:left="260" w:firstLine="0"/>
        <w:jc w:val="center"/>
        <w:rPr>
          <w:sz w:val="28"/>
          <w:szCs w:val="28"/>
        </w:rPr>
      </w:pPr>
      <w:r w:rsidRPr="00A46D30">
        <w:rPr>
          <w:sz w:val="28"/>
          <w:szCs w:val="28"/>
        </w:rPr>
        <w:t>с.</w:t>
      </w:r>
      <w:r w:rsidR="00463830" w:rsidRPr="00A46D30">
        <w:rPr>
          <w:sz w:val="28"/>
          <w:szCs w:val="28"/>
        </w:rPr>
        <w:t>Большой Улуй                                                                                                                               2014</w:t>
      </w:r>
    </w:p>
    <w:p w:rsidR="006F3E56" w:rsidRPr="006F3E56" w:rsidRDefault="006F3E56" w:rsidP="006F3E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0"/>
      <w:r w:rsidRPr="006F3E5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 …………………………………………………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….</w:t>
      </w:r>
      <w:r>
        <w:rPr>
          <w:rFonts w:ascii="Times New Roman" w:hAnsi="Times New Roman" w:cs="Times New Roman"/>
          <w:color w:val="auto"/>
          <w:sz w:val="28"/>
          <w:szCs w:val="28"/>
        </w:rPr>
        <w:t>…….... 3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Основы осуществления финансово-экономической экспертизы проекта</w:t>
      </w:r>
    </w:p>
    <w:p w:rsidR="006F3E56" w:rsidRDefault="00BD54F5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="006F3E56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районном </w:t>
      </w:r>
      <w:r w:rsidR="006F3E56">
        <w:rPr>
          <w:rFonts w:ascii="Times New Roman" w:hAnsi="Times New Roman" w:cs="Times New Roman"/>
          <w:color w:val="auto"/>
          <w:sz w:val="28"/>
          <w:szCs w:val="28"/>
        </w:rPr>
        <w:t xml:space="preserve"> бюджете на очередной финансовый годи плановый период ……………………………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………………….</w:t>
      </w:r>
      <w:r w:rsidR="006F3E56">
        <w:rPr>
          <w:rFonts w:ascii="Times New Roman" w:hAnsi="Times New Roman" w:cs="Times New Roman"/>
          <w:color w:val="auto"/>
          <w:sz w:val="28"/>
          <w:szCs w:val="28"/>
        </w:rPr>
        <w:t>…………………………… 4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Правовые и информационные основы финансово-экономической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экспертизы ………………………………………………………………………. 4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Методические основы проведения финансово-экономической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экспертизы……………………………………………………………………….. 8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 Организационные основы осуществления финансово-экономической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экспертизы………………………………………………………………………. 12</w:t>
      </w:r>
    </w:p>
    <w:p w:rsidR="006F3E56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Структура и основные положения содержания заключения 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  Большеулуйского  района   на проект решения  о районном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бюджетена очередной финансов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ый год и плановый период 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</w:t>
      </w:r>
    </w:p>
    <w:p w:rsidR="00BD54F5" w:rsidRDefault="00BD54F5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01063" w:rsidRDefault="006F3E56" w:rsidP="006F3E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Образец оформления сопр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оводительного письма  …...…….. 14</w:t>
      </w: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220C4" w:rsidRDefault="00D220C4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Default="00601063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CEF" w:rsidRDefault="00A45CEF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CEF" w:rsidRDefault="00A45CEF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CEF" w:rsidRDefault="00A45CEF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54F5" w:rsidRDefault="00BD54F5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54F5" w:rsidRDefault="00BD54F5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D54F5" w:rsidRDefault="00BD54F5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CEF" w:rsidRDefault="00A45CEF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CEF" w:rsidRDefault="00A45CEF" w:rsidP="0060106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1063" w:rsidRPr="00A45CEF" w:rsidRDefault="00601063" w:rsidP="00A45CEF">
      <w:pPr>
        <w:pStyle w:val="af1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Общие положения</w:t>
      </w:r>
    </w:p>
    <w:p w:rsidR="00A45CEF" w:rsidRPr="00A45CEF" w:rsidRDefault="00A45CEF" w:rsidP="00A45CEF">
      <w:pPr>
        <w:pStyle w:val="af1"/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CEF" w:rsidRPr="00A45CEF" w:rsidRDefault="00A45CEF" w:rsidP="00A45CE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1.1.Стандарт внешнего государственного финансового контроля «Финансово-экономическая экспертиза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решения  о  районном  бюджете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очереднойфинансовый год и плановый период» (далее – Стандарт) разработан с учетомположений:</w:t>
      </w:r>
    </w:p>
    <w:p w:rsidR="00A45CEF" w:rsidRDefault="00A45CEF" w:rsidP="00A45CEF">
      <w:pPr>
        <w:pStyle w:val="af1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- Бюджетного кодекса Российской Федерации (далее – Бюджетный кодекс);</w:t>
      </w:r>
    </w:p>
    <w:p w:rsidR="00A45CEF" w:rsidRPr="00A45CEF" w:rsidRDefault="00A45CEF" w:rsidP="00A45CEF">
      <w:pPr>
        <w:pStyle w:val="af1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07.02.2011 № 6-ФЗ «Об общих принципах организации и деятельности контрольно-счетных органов субъектов Российской  Федерации и муниципальных образований»;</w:t>
      </w:r>
    </w:p>
    <w:p w:rsidR="00A45CEF" w:rsidRPr="00A45CEF" w:rsidRDefault="00A45CEF" w:rsidP="00A45CEF">
      <w:pPr>
        <w:pStyle w:val="af1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Решения  Большеулуйского  районного  Совета  депутатов  от  30.09.2013     № 232  «О бюджетном процессе  в Большеулуйском  районе»;</w:t>
      </w:r>
    </w:p>
    <w:p w:rsidR="00A45CEF" w:rsidRPr="00A45CEF" w:rsidRDefault="00A45CEF" w:rsidP="00A45CEF">
      <w:pPr>
        <w:pStyle w:val="af1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- Положения    о  Контрольно-счетном  органе  Большеулуйского  района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  (далее Контрольно-счетный  орган),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утвержденного  решением  Большеулуйского  районного  Совета  депутатов  от  26.09.2012  №  162 (с  изменен.от  25.10.2012  №  170, измен. от  27.03.2013, измен. от 02.09.2014 № 264)  ;</w:t>
      </w:r>
    </w:p>
    <w:p w:rsidR="00A45CEF" w:rsidRPr="00A45CEF" w:rsidRDefault="00A45CEF" w:rsidP="00E60021">
      <w:pPr>
        <w:pStyle w:val="af1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021">
        <w:rPr>
          <w:rFonts w:ascii="Times New Roman" w:hAnsi="Times New Roman" w:cs="Times New Roman"/>
          <w:color w:val="auto"/>
          <w:sz w:val="28"/>
          <w:szCs w:val="28"/>
        </w:rPr>
        <w:t>- Регламен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та Контрольно-счетного  органа </w:t>
      </w:r>
      <w:r w:rsidRPr="00E60021">
        <w:rPr>
          <w:rFonts w:ascii="Times New Roman" w:hAnsi="Times New Roman" w:cs="Times New Roman"/>
          <w:color w:val="auto"/>
          <w:sz w:val="28"/>
          <w:szCs w:val="28"/>
        </w:rPr>
        <w:t xml:space="preserve">(далее – Регламент),утвержденного </w:t>
      </w:r>
      <w:r w:rsidR="00E60021">
        <w:rPr>
          <w:rFonts w:ascii="Times New Roman" w:hAnsi="Times New Roman" w:cs="Times New Roman"/>
          <w:color w:val="auto"/>
          <w:sz w:val="28"/>
          <w:szCs w:val="28"/>
        </w:rPr>
        <w:t>распоряжением  председателя  Контрольно-счетного  органа  от  25.01.2013  №  02 а (с  измен.от  24.04.2014  №  8-р)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5CEF" w:rsidRPr="00DE6565" w:rsidRDefault="00A45CEF" w:rsidP="00DE6565">
      <w:pPr>
        <w:pStyle w:val="af1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565">
        <w:rPr>
          <w:rFonts w:ascii="Times New Roman" w:hAnsi="Times New Roman" w:cs="Times New Roman"/>
          <w:color w:val="auto"/>
          <w:sz w:val="28"/>
          <w:szCs w:val="28"/>
        </w:rPr>
        <w:t>стандартов Счетной палаты Красноярского края (далее – Счетная палата).</w:t>
      </w:r>
    </w:p>
    <w:p w:rsidR="00A45CEF" w:rsidRPr="00A45CEF" w:rsidRDefault="00A45CEF" w:rsidP="00DE656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1.2. Стандарт разработан для использования сотрудниками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органа 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>при организации и проведении финансово-экономической экспертизы проекта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 решения  о  районном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бюджете на очередной финансовый годи плановый период (далее – проект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решения о  районном  бюджете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) и подготовкезаключения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на проект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решения  о  районном  бюджете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(далее –заключение).</w:t>
      </w:r>
    </w:p>
    <w:p w:rsidR="00A45CEF" w:rsidRPr="00A45CEF" w:rsidRDefault="00A45CEF" w:rsidP="00DE656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1.3. Целью Стандарта является установление единых принципов, правили процедур проведения финансово-эк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ономической экспертизы проекта решения о  районном  бюджете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финансово-экономическая экспертиза).</w:t>
      </w:r>
    </w:p>
    <w:p w:rsidR="00A45CEF" w:rsidRPr="00A45CEF" w:rsidRDefault="00A45CEF" w:rsidP="00DE656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1.4. Задачами стандарта являются:</w:t>
      </w:r>
    </w:p>
    <w:p w:rsidR="00A45CEF" w:rsidRPr="00A45CEF" w:rsidRDefault="00A45CEF" w:rsidP="00A45CE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определение основных принципов и этапов проведения финансово-экономической экспертизы;</w:t>
      </w:r>
    </w:p>
    <w:p w:rsidR="00A45CEF" w:rsidRPr="00A45CEF" w:rsidRDefault="00A45CEF" w:rsidP="00A45CE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требований к содержанию комплекса экспертно-аналитическихмероприятий и проверок обоснованности формирования параметров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>бюджета на очередной финансовый год и плановый период;</w:t>
      </w:r>
    </w:p>
    <w:p w:rsidR="00A45CEF" w:rsidRPr="00A45CEF" w:rsidRDefault="00A45CEF" w:rsidP="00A45CE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определение структуры, содержания и о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сновных требований к заключению.</w:t>
      </w:r>
    </w:p>
    <w:p w:rsidR="00A45CEF" w:rsidRPr="00A45CEF" w:rsidRDefault="00A45CEF" w:rsidP="00DE656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1.5. При организации и проведении финансово-экономической экспертизысотрудники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Контрольно-счетного органа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обязаны руководствоваться Конституцией РоссийскойФедерации, Федеральным законом от 07.02.2011 № 6-ФЗ «Об общих принципахорганизации и деятельности контрольно-счетных органов субъектов РоссийскойФедерации и муниципальных образований»,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 </w:t>
      </w:r>
      <w:r w:rsidR="00DE6565" w:rsidRPr="00A45CEF">
        <w:rPr>
          <w:rFonts w:ascii="Times New Roman" w:hAnsi="Times New Roman" w:cs="Times New Roman"/>
          <w:color w:val="auto"/>
          <w:sz w:val="28"/>
          <w:szCs w:val="28"/>
        </w:rPr>
        <w:t>о  Контрольно-счетном  органе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E6565"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 утвержденного  решением  Большеулуйского  районного  Совета  депутатов  от  26.09.2012  №  162 (с  изменен.от  25.10.2012  №  170, измен. от  27.03.2013, измен. от 0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2.09.2014 № 264)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, бюджетнымзаконодательством, другими нормативными правовыми актами РоссийскойФедерации и Красноярского края, Регламентом, а также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распоряжениями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, инструкциями,иными нормативными документами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и настоящим Стандартом.</w:t>
      </w:r>
    </w:p>
    <w:p w:rsidR="00601063" w:rsidRDefault="00A45CEF" w:rsidP="00DE656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CEF">
        <w:rPr>
          <w:rFonts w:ascii="Times New Roman" w:hAnsi="Times New Roman" w:cs="Times New Roman"/>
          <w:color w:val="auto"/>
          <w:sz w:val="28"/>
          <w:szCs w:val="28"/>
        </w:rPr>
        <w:t>1.6.Внесение изменений и дополнений в настоящий Стандарт осуществляется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  распоряжением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Контрольно-счетного органа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>. Решение вопросов, не урегулированных настоящимСтандартом, осуществляется председателем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 xml:space="preserve">  Контрольно-счетного  органа, и вводится в действие распоряжением 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r w:rsidR="00DE6565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6565" w:rsidRDefault="00DE6565" w:rsidP="00A45CE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3FE1" w:rsidRPr="00F23FE1" w:rsidRDefault="00F23FE1" w:rsidP="00F23FE1">
      <w:pPr>
        <w:pStyle w:val="af1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осуществления финансово-экономической экспертизы</w:t>
      </w:r>
    </w:p>
    <w:p w:rsidR="00F23FE1" w:rsidRPr="00F23FE1" w:rsidRDefault="00F23FE1" w:rsidP="00F23FE1">
      <w:pPr>
        <w:pStyle w:val="af1"/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3FE1" w:rsidRPr="00F23FE1" w:rsidRDefault="00F23FE1" w:rsidP="00F23FE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Правовые и информационные основы осуществления</w:t>
      </w:r>
    </w:p>
    <w:p w:rsidR="00F23FE1" w:rsidRDefault="00F23FE1" w:rsidP="00F23FE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финансово-экономической экспертизы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3FE1" w:rsidRPr="00F23FE1" w:rsidRDefault="00F23FE1" w:rsidP="0050103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2.1.1. Финансово-экономическ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ая экспертиза проекта  решения  о  районном  бюджете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является формой внешнего государственного финансового контроля,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 осу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ществляемого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Контрольно-счетным  органом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Бюджетного кодекса,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="00BE38BC"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E38BC"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от 07.02.2011 № 6-ФЗ «Об общих принципахорганизации и деятельности контрольно-счетных органов субъектов РоссийскойФедерации и муниципальных образований»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E38BC" w:rsidRPr="00BE38BC">
        <w:rPr>
          <w:rFonts w:ascii="Times New Roman" w:hAnsi="Times New Roman" w:cs="Times New Roman"/>
          <w:color w:val="auto"/>
          <w:sz w:val="28"/>
          <w:szCs w:val="28"/>
        </w:rPr>
        <w:t>Решения  Большеулуйского  районного  Сове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та  депутатов  от  30.09.2013  </w:t>
      </w:r>
      <w:r w:rsidR="00BE38BC" w:rsidRPr="00BE38BC">
        <w:rPr>
          <w:rFonts w:ascii="Times New Roman" w:hAnsi="Times New Roman" w:cs="Times New Roman"/>
          <w:color w:val="auto"/>
          <w:sz w:val="28"/>
          <w:szCs w:val="28"/>
        </w:rPr>
        <w:t xml:space="preserve"> № 232  «О бюджетном процессе  в Большеулуйском  районе»;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  а также статьи 5</w:t>
      </w:r>
      <w:r w:rsidR="00BE38BC"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Положения  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 о  Контрольно-счетном  органе,</w:t>
      </w:r>
      <w:r w:rsidR="00BE38BC"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утвержденного  решением  Большеулуйского  районного  Совета  депутатов  от  26.09.2012  №  162 (с  изменен.от  25.10.2012  №  170, измен. от  27.03.2013, измен. от 02.09.2014 № 264)</w:t>
      </w:r>
    </w:p>
    <w:p w:rsidR="00F23FE1" w:rsidRPr="00F23FE1" w:rsidRDefault="00BD54F5" w:rsidP="0050103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2.1.2.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Финансово-экономическая экспертиза представляет собой комплексмероприятий по проверке и анализу обоснованности показателей проекта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>решения  о районном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бюджете, наличия и состояния нормативной и методической базы егоформирования, подготовке на их основе зак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лючения, а также участие Контрольно-счетного органа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в рассмотрении проекта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 бюджета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Большеулуйском  районном  Совете  депутатов 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Красноярского края (далее –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2.1.3. Целью финансово-экономической экспертизы является определениедостоверности и обоснованности показателей проекта </w:t>
      </w:r>
      <w:r w:rsidR="00BE38BC">
        <w:rPr>
          <w:rFonts w:ascii="Times New Roman" w:hAnsi="Times New Roman" w:cs="Times New Roman"/>
          <w:color w:val="auto"/>
          <w:sz w:val="28"/>
          <w:szCs w:val="28"/>
        </w:rPr>
        <w:t xml:space="preserve">решения  о  районном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бюджете.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Задачами финансово-экономической экспертизы являются: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соответствия действующему законодательству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решения  о  районном 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бюджете, а также документов и материалов, представляемыходновременно с ним в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экспертиза показателей, проекта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решения  о  районном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бюджете, документов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и материалов, представляемых одновременно с ним в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Совет  депутатов;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оценка проекта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как инструмента социально-экономическойполитики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его соответствия положениям Бюджетного посланияПрезидента Российской Федерации и иным программным документам;</w:t>
      </w:r>
    </w:p>
    <w:p w:rsidR="00F23FE1" w:rsidRPr="00F23FE1" w:rsidRDefault="00F23FE1" w:rsidP="00F23F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прогнозирования доходов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расходованиябюджетных средств, инвестиционной и долговой политики, а также эффективностимежбюджетных отношений.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2.1.4. Предметом финансово-экономической экспертизы являются проект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 решения  о 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бюджете, документы и материалы, представляемые одновременнос ним в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документы, материалы и расчетыпо формированию проекта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и макроэкономических показателейпрогноза социально-экономического развития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2.1.5. Объектами финансово-экономической экспертизы являются: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рганы исполнительной власти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главные администраторы доходов</w:t>
      </w:r>
    </w:p>
    <w:p w:rsidR="00F23FE1" w:rsidRPr="00F23FE1" w:rsidRDefault="0050103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главн</w:t>
      </w:r>
      <w:r>
        <w:rPr>
          <w:rFonts w:ascii="Times New Roman" w:hAnsi="Times New Roman" w:cs="Times New Roman"/>
          <w:color w:val="auto"/>
          <w:sz w:val="28"/>
          <w:szCs w:val="28"/>
        </w:rPr>
        <w:t>ые распорядители средств районного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и иныеучастники бюджетного процесса (выборочно).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2.1.6. При осуществлении финансово-экономической экспертизы необходимоисходить из действующих правовых основ формирования проекта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районногоб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юджетаи определить соответствие проекта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и процедурпо его формированию, документов и материалов, представляемых одновременно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 с ним в Совет  депутатов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программным документам и нормативнымправовым актам по вопросам экономической и бюджетной политики, принимаемымна уровне Российской Федерации и Красноярского края.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финансово-экономической экспертизы должно бытьпроверено и проанализировано соответствие проекта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решения  о районном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бюджетеи документов, представляемых одновременно с ним в 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,положениям Бюджетного кодекса, в том числе: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I. При оценке </w:t>
      </w: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прогноза показателей социально-экономического развития</w:t>
      </w:r>
      <w:r w:rsidR="005010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Большеулуйского  района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необходимо обратить внимание на соблюдение принципадостоверности бюджета, закрепленного в статье 37 Бюджетного кодекса, которыйозначает надежность показателей прогноза социально-экономического развития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, необходимую при уточнении параметров планового периода и добавлениипараметров второго года планового периода в соответствии с пунктом 4 статьи 173Бюджетного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кодекса и прогнозировании доходов бюджета в соответствии с пунктом1 статьи 174.1 Бюджетного кодекса.</w:t>
      </w:r>
    </w:p>
    <w:p w:rsidR="0018599F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II. Соблюдение </w:t>
      </w: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принципов бюджетной системы Российской Федерации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,определенных статьей 28 Бюджетного кодекса и установленных статьями 32, 33, 34,35, 36, 37</w:t>
      </w:r>
      <w:r w:rsidRPr="00F23FE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38, 38.1 Бюджетного кодекса: </w:t>
      </w:r>
    </w:p>
    <w:p w:rsidR="0018599F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полноты отражения доходов, расходови источников финансирования дефицитов бюджетов; сбалансированности бюджета,эффективности использования бюджетных средств; 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общего (совокупного) покрытиярасходов бюджетов; прозрачности (открытости); достоверности бюджета,адресности и целевого характера бюджетных средств; подведомственности расходов</w:t>
      </w:r>
      <w:r w:rsidR="00501031">
        <w:rPr>
          <w:rFonts w:ascii="Times New Roman" w:hAnsi="Times New Roman" w:cs="Times New Roman"/>
          <w:color w:val="auto"/>
          <w:sz w:val="28"/>
          <w:szCs w:val="28"/>
        </w:rPr>
        <w:t xml:space="preserve"> бюджетов.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III. При оценке и анализе </w:t>
      </w:r>
      <w:r w:rsidR="007C04D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доходов районного</w:t>
      </w: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бюджета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следует обратить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внимание на: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обеспечение закрепленного в статье 37 Бюджетного кодекса принципадостоверности бюджета, который означает реалистичность расчета доходов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бюджета;</w:t>
      </w:r>
    </w:p>
    <w:p w:rsidR="00F23FE1" w:rsidRPr="00F23FE1" w:rsidRDefault="0018599F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зачисление в районный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 налоговых и неналоговых доходов,определенных в статьях 40, 41, 42, 46, 56, 57, 59 Бюджетного кодекса;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соблюдение требований статьи 58 Бюджетного кодекса.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IV. При оценке и анализе </w:t>
      </w:r>
      <w:r w:rsidR="0018599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расходов районного</w:t>
      </w: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бюджета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обратить внимание на: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обеспечение закрепленного в статье 37 Бюджетного кодекса принципадостоверности бюджета, который означает реалистичность расчета расходов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бюджета;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формирования расходов бюджета, установленныхв статье 65 Бюджетного кодекса;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соблюдение правил формирования реестра расходных обязательствв соответствии со статьей 87 Бюджетного кодекса;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обоснование бюджетных ассигнований в соответствии со статьями 69, 69.1,70,74, 74.1 , 78, 78.1 , 79, 80, 81 и 83 Бюджетного кодекса;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V. При оценке и анализе </w:t>
      </w: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межбюджетных отношений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обратить вниманиена соблюдение условий предоставления межбюджетных трансфертов из краевогобюджета, а также форм межбюджетных трансфертов, предоставляемых бюджетаммуниципальных образований в соответствии со статьями 135, 136, 137, 138, 138.1,139, 139.1, 140, 142.2 Бюджетного кодекса.</w:t>
      </w:r>
    </w:p>
    <w:p w:rsidR="00F23FE1" w:rsidRPr="00F23FE1" w:rsidRDefault="00D131C0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VI.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При оценке и анализе </w:t>
      </w:r>
      <w:r w:rsidR="00F23FE1"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исто</w:t>
      </w:r>
      <w:r w:rsidR="001859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чников финансирования дефицита районного </w:t>
      </w:r>
      <w:r w:rsidR="00F23FE1"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бюджета и государственного долга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отразить соблюдение требований следующихстатей Бюджетного кодекса: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статьи 32 по полноте отражения источников финансирования дефицитовбюджетов, статьи 92.1 по устано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влению размера дефицита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статьи93.1 по зачислению средств от продажи акций и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иных форм участия в капитале,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 xml:space="preserve">находящихся в муниципальной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собственности, статей 93.2 и 93.3по предоставлению бюджетных кредитов, статьи 93.4 в части особенностейисполнения денежных требований по обязательствам перед Российской Федерациейстатьи 95 и 184.1 по составу источников </w:t>
      </w:r>
      <w:r w:rsidR="0018599F">
        <w:rPr>
          <w:rFonts w:ascii="Times New Roman" w:hAnsi="Times New Roman" w:cs="Times New Roman"/>
          <w:color w:val="auto"/>
          <w:sz w:val="28"/>
          <w:szCs w:val="28"/>
        </w:rPr>
        <w:t>финансирования дефицита районного  бюджета и утверждению их в решении о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бюджете;</w:t>
      </w:r>
    </w:p>
    <w:p w:rsidR="00F23FE1" w:rsidRPr="00F23FE1" w:rsidRDefault="00F23FE1" w:rsidP="005010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статей 101 и 102 по управлению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долгом субъектаРоссийской Федерации и соблюдению ответственности по долговым обязательствамсубъекта РФ (для целей настоящего Стандарта термин «субъект РФ» понимается как</w:t>
      </w:r>
      <w:r w:rsidR="0018599F">
        <w:rPr>
          <w:rFonts w:ascii="Times New Roman" w:hAnsi="Times New Roman" w:cs="Times New Roman"/>
          <w:color w:val="auto"/>
          <w:sz w:val="28"/>
          <w:szCs w:val="28"/>
        </w:rPr>
        <w:t>Большеулуйский  район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), статьи 99 по структуре государственного долга, видами срочности долговых обязательств субъекта Российской Федерации, статьи 99.1по прекращению долговых обязательств субъекта Российской Федерации,выраженных в валюте Российской Федерации, и их списанию с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долга субъекта Российской Федерации, статьи 102 по соблюдению ответственности</w:t>
      </w:r>
    </w:p>
    <w:p w:rsidR="00F23FE1" w:rsidRPr="00F23FE1" w:rsidRDefault="00F23FE1" w:rsidP="0018599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по долговым обязательствам субъекта Российской Федерации, статьи 103по осуществлению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заимствований субъекта РоссийскойФедерации, статьи 105 по реструктуризации долга, статей 106, 107 по предельномуобъему заимствований и предельному объему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долга субъектаРоссийской Федерации, статей 108.2, 110.1, 110.2 по программам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внешних и внутренних заимствований субъекта Российской Федерациии государственных гарантий субъекта Российской Федерации, статьи 111по предельному о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бъемурасходов на обслуживание муниципального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долга субъектаРоссийской Федерации, статей 113, 114, 115, 115.1, 115.2, 117 по отражениюв бюджетах поступлений средств от заимствований, погашения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долга, расходов на его обслуживание, по предельному объему выпуска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ценных бумаг, по предоставлению и обеспечению исполненияобязательств по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гарантиям, порядка и условий предоставления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гарантий субъекта Российской Федерации;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VII. При анализе средств </w:t>
      </w:r>
      <w:r w:rsidRPr="00F23FE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Резервного фонда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дать оценку объемови порядка формирования, использования и управления средствами Резервного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фонда, преде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льного размера Резервного фонда;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VIII. Проанализировать соблюдение: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порядка составления проекта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определенногов статьях169, 170, 171, 172, 173, 174.1, 174.2, 179.3, 184 Бюджетного кодекса;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основным характеристикам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нормативамраспределения доходов между бюджетами бюджетной системы Российской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Федерации, если они не устанавливаются бюджетным законодательством, составупоказателей, устанавливаемых в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 xml:space="preserve">решении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в соответствиисо статьей 184.1 Бюджетного кодекса;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требований к составу документов и материалов, представляемыходновременно с проектом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 xml:space="preserve"> 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в соответствии со статьей 184.2Бюджетного кодекса.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>2.1.7. Информационной основой осуществления финансово-экономической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>экспертизы проекта решения о 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являются: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Бюджетное послание Президента Российской Федерации;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прогноза социально-экономического развития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 xml:space="preserve">Большеулуйского  района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на очередной год и плановый период;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Территориального органа Федеральной службыгосударственной статистики по Красноярскому краю за предыдущие годы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и за истекший период текущего года;</w:t>
      </w:r>
    </w:p>
    <w:p w:rsidR="00F23FE1" w:rsidRPr="00F23FE1" w:rsidRDefault="00D131C0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показатели районного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утвержденные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районным  решением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на текущийфинансовый год и плановый период, а также показатели ожидаемого исполнения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решения о районном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в текущем финансовом году;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бюджетной и налоговой политики Красноярского краяна очередной финансовый год и плановый период;</w:t>
      </w:r>
    </w:p>
    <w:p w:rsidR="00F23FE1" w:rsidRPr="00F23FE1" w:rsidRDefault="007F4B65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мунициальные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проводимого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Контрольно-счетным  органом контроля исполнения 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бюджета текущего года и проверок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>Контрольно-счетным  органом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</w:t>
      </w:r>
      <w:r w:rsidR="00D131C0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 на проекты решений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об исполнении бюджетаза предшествующие годы;</w:t>
      </w:r>
    </w:p>
    <w:p w:rsidR="00F23FE1" w:rsidRPr="00F23FE1" w:rsidRDefault="00D131C0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 Финансово-экономического  управления  администрации  Большеулуйского  района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FE1" w:rsidRPr="00F23FE1" w:rsidRDefault="00D131C0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нформация Управления Федеральной налоговой службы по Красноярскому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краю;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информация Управление Федерального казначейства по Красноярскому краю;</w:t>
      </w:r>
    </w:p>
    <w:p w:rsid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базы данных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269C" w:rsidRPr="00F23FE1" w:rsidRDefault="0066269C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3FE1" w:rsidRPr="0066269C" w:rsidRDefault="00F23FE1" w:rsidP="0066269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269C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 Методические основы осуществления финансово-экономической</w:t>
      </w:r>
    </w:p>
    <w:p w:rsidR="00F23FE1" w:rsidRDefault="0066269C" w:rsidP="0066269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269C">
        <w:rPr>
          <w:rFonts w:ascii="Times New Roman" w:hAnsi="Times New Roman" w:cs="Times New Roman"/>
          <w:b/>
          <w:bCs/>
          <w:color w:val="auto"/>
          <w:sz w:val="28"/>
          <w:szCs w:val="28"/>
        </w:rPr>
        <w:t>Э</w:t>
      </w:r>
      <w:r w:rsidR="00F23FE1" w:rsidRPr="0066269C">
        <w:rPr>
          <w:rFonts w:ascii="Times New Roman" w:hAnsi="Times New Roman" w:cs="Times New Roman"/>
          <w:b/>
          <w:bCs/>
          <w:color w:val="auto"/>
          <w:sz w:val="28"/>
          <w:szCs w:val="28"/>
        </w:rPr>
        <w:t>кспертизы</w:t>
      </w:r>
    </w:p>
    <w:p w:rsidR="0066269C" w:rsidRPr="0066269C" w:rsidRDefault="0066269C" w:rsidP="0066269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2.2.1. Методической основой осуществления финансово-экономическойэкспертизы проекта 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7F4B65">
        <w:rPr>
          <w:rFonts w:ascii="Times New Roman" w:hAnsi="Times New Roman" w:cs="Times New Roman"/>
          <w:color w:val="auto"/>
          <w:sz w:val="28"/>
          <w:szCs w:val="28"/>
        </w:rPr>
        <w:t xml:space="preserve"> 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являются: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сравнительн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ый анализ соответствия проекта решения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бюджете,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документов, материалов и документов, представляемых одновременно с ним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действующему законодательству и нормативно-правовым актам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сравнительный анализ соответствия проекта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решения о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положениям Бюджетного послания Президента Российской Федерации, основнымприоритетам государственной социально-экономической политики, указамПрезидента Российской Федерации от 7 мая 2012 г., основным направлениямбюджетной и налоговой политики Красноярского края, приоритетам Стратегиисоциально-экономического развития Красноярского края на период до 2020 года,иным программным документам;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сравнительный анализ соответствия принятых в проекте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решения о районном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бюджете расчетов показателей установленным нормативам и действующим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методическим рекомендациям;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2.2.2. Методические подходы к осуществлению финансово-экономическойэкспертизы проекта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решения  района о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по основным вопросам состоятв следующем: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2.2.2.1. Проверка и анализ обоснованности макроэкономических показателейпрогноза социально-экономического развития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очереднойфинансовый год и плановый период должны осуществляться исходя из анализанормативно-методической базы макроэкономического прогнозирования, а такжесопост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авления фактических показателей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социально-экономического развития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за предыдущий год и ожидаемых итогов текущего годас прогнозными макроэкономическими показателями социально-экономическогоразвития текущего года, очередного финансового года и планового периода.</w:t>
      </w:r>
    </w:p>
    <w:p w:rsidR="00F23FE1" w:rsidRPr="00F23FE1" w:rsidRDefault="00F23FE1" w:rsidP="00D13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При этом должно быть проанализировано состояние нормативно-методической базы макроэкономического прогнозирования с точки зрения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действующим законодательным актам и возможности получениядостоверных макроэкономических показателей, содержащихся в прогнозесоциально-экономического развития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финансовыйгод и плановый период. При отсутствии утвержденных методик расчета показателейпрогноза социа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льно-экономического развития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анализируются фактическииспользуемые методические приемы и технологии прогнозированиямакроэкономических показателей.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При проверке и анализе обоснованности прогноза макроэкономическихпоказателей социально-экономического развития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необходимопроанализировать основные показатели прогноза социально-экономическогоразвития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 xml:space="preserve">Большеулуйского  района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на очередной финансовый год и плановый периоди их соответствие целевым установкам, сформулированным в Бюджетном посланииПрезидента Российской Федерации и иных программных документах.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2.2.2.2. Проверка и анализ обоснованности показателей проекта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бюджета осуществляются с учетом данных паспортов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Большеулуйского 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в результате которых следует дать оценку: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соответствия объемов бюджетных ассигнований, предусмотренныхна ре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 xml:space="preserve">ализацию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="0066269C">
        <w:rPr>
          <w:rFonts w:ascii="Times New Roman" w:hAnsi="Times New Roman" w:cs="Times New Roman"/>
          <w:color w:val="auto"/>
          <w:sz w:val="28"/>
          <w:szCs w:val="28"/>
        </w:rPr>
        <w:t>программы проектом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показателям паспорта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программы;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целей, задач, значений целевых показателей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программ целям,задачам, показателям, отраженным в Бюджетном послании Президента РоссийскойФедерации и иных программных документах;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обоснованности состава и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значений целевых показателей муниципальных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программ;</w:t>
      </w:r>
    </w:p>
    <w:p w:rsidR="00F23FE1" w:rsidRPr="00F23FE1" w:rsidRDefault="00D91F78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достижимости показателей муниципальных 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программ и возможности реализациипоставленных в них стратегических целей и тактических задач (с учетомдостигнутых результатов по целевым показателям за предыдущие годы);</w:t>
      </w:r>
    </w:p>
    <w:p w:rsidR="00F23FE1" w:rsidRPr="00F23FE1" w:rsidRDefault="00D91F78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ресурсного обеспечения муниципальных 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программ, в том числе за счет средств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бюджета, включая обоснованность закупок товаров, работ, услуг, их соответствияцелям и задачам реализации мероприятий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 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>программ;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динамики показателей (индикаторов) госпрограмм в сравнении с динамикойрасходов на их обеспечение, в том числе расходов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бюджета,предусмотренных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муниципальными п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рограммами и проектом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(в целоми в разрезе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программ, подпрограмм, основных мероприятий);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обоснованности дейс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твующих расходных обязательств 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бюджетана основе анализа Реестра расходных обязательств, нормативно-правовой базы егоформирования и применяемых методов индексации и расчетов на очереднойфинансовый год.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В результате проверки и анализа должна быть дана оценка обоснованности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действующих бюджетных обязательств и целесообразности принимаемых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обязательств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на очередной финансовый год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и плановый период на основе утверждаемых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программ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, даныпредложения по оптимизации бюджетных расходов для достижения поставленныхцелей и обеспечения прогнозируемых показателей (индикаторов)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программв очередном финансовом году и плановом периоде.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2.2.2.3. Проверка и анализ обоснованности доходных статей проекта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бюджета должны предусматривать: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сопоставление динамики показателей налоговых и иных доходов проекта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(в реальном выражении, с учетом индекса дефлятора),</w:t>
      </w:r>
    </w:p>
    <w:p w:rsidR="00F23FE1" w:rsidRPr="00F23FE1" w:rsidRDefault="00F23FE1" w:rsidP="006626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утвержденных и ожидаемых показателей исполнения доходов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 текущего года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, фактических доходов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а предыдущий год, а также основных факторов, определяющих их динамику;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районных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законов о налогах и сборах, вступающих в силу в очередном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финансовом году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обоснованности данных о фактических и прогнозных объемах доходов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в том числе в разрезе главных администраторов доходов</w:t>
      </w:r>
    </w:p>
    <w:p w:rsidR="00F23FE1" w:rsidRPr="00F23FE1" w:rsidRDefault="0043767A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факторный анализ изменения доходных источников проекта 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бюджетапо сравнению с их оценкой в текущем году;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факторный анализ изм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енения структуры доходов  районного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в разрезеналоговых и неналоговых доходов;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сравнение динамики отдельных видов налоговых и неналоговых доходов(в сопоставимых ценах), а также факторов, определяющих эту динамику;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оценку обоснованности расчета налоговых доходов - налоговой базы,налогового периода, налоговой ставки, используемой в расчете, суммы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налоговыхвычетов, уровня собираемости по налогу на прибыль организаций, налога на доходыфизических лиц, налога на имущество организаций, акцизам, платежамза пользование природными ресурсами, другим платежам, формирующим доходы</w:t>
      </w:r>
      <w:r w:rsidR="0043767A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9A129B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оценку обоснованности расчетов иных доходов в части: </w:t>
      </w:r>
    </w:p>
    <w:p w:rsidR="009A129B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доходовот размещения временно свободных средств бюджетов субъектов РФ; </w:t>
      </w:r>
    </w:p>
    <w:p w:rsidR="009A129B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дивидендовпо акциям и доходам от прочих форм участия в капитале, находящихсяв с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>обственности Большеулуйского 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доходов от реализации имущества, доходовот сдачи в аренду имущества, находящегося в 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доходов от перечисления части прибыли, остающейся после уплаты налогов и иныхобязательных платежей государственных унитарных предприятий; доходовот предпринимательской и иной приносящей доход деятельности.</w:t>
      </w:r>
    </w:p>
    <w:p w:rsidR="00F23FE1" w:rsidRPr="00F23FE1" w:rsidRDefault="00F23FE1" w:rsidP="009A129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2.2.2.4. Проверка и анализ полноты отражения расчетов расходов проекта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должна предусматривать: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анализ реестра расходных обязательств 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нормативно-правовой базы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их формирования и применяемых методов индексации и расчетовна очередной финансовый год и плановый период, оценку объемов бюджетных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обязательств, не подтвержденных нормативными правовыми актами, а также анализнормативных правовых актов, регулирующих деятельность органов,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на соответствие полномочий по осуществлению расходных обязательств;сопоставление динамики общего объема расходов, расходов в разрезе единых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для бюджетов бюджетной системы Российской Федерации разделов и подразделовклассификации расходов бюджетов на трехлетний период в абсолютном выражениии объемов расходов, утвержденных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 xml:space="preserve">  решением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и ожидаемыхза текущий год, фактических расходов 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за предыдущий год, анализувеличения или сокращения утвержденных расходов планового периода;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анализ действующих и принимаемых расходных обязательств 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 xml:space="preserve">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,их сопоставление с поставленными целями и задачами и прогнозируемой оценкойрезультативности проектируемых расходов;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анализ бюджетных ассигнований, направляемых на осуществлениебюджетных инвестиций в разрезе </w:t>
      </w:r>
      <w:r w:rsidR="009A129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программ, государственныхзаказчиков и объектов капитального строительства;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анализ бюджетных ассигнований, направляемых на исполнение публичных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нормативных обязательств.</w:t>
      </w:r>
    </w:p>
    <w:p w:rsidR="00F23FE1" w:rsidRPr="00F23FE1" w:rsidRDefault="00F23FE1" w:rsidP="00D91F7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2.2.2.5. Проверка и анализ обоснованности и достоверности формированиямежбюджетных отношений на очередной финансовый год и плановый периоддолжна предусматривать: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анализ объемов налоговых и неналоговых доходов, учтенных в расчетахпрогноза консолидированного бюджета 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 xml:space="preserve">Большеулуйского  района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и подлежащихзачислению в 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районный бюджет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на соответствие статьям 611 612, 62 Бюджетногокодекса;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анализ 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 xml:space="preserve">решений района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 внесении изменений в налоговое и бюджетноезаконодательство, вступающих в силу в очередном финансовом году, проектов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решений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об изменении налогового и бюджетного законодательства, учтенныхв расчетах прогноза консолидированного бюджета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Большеулуйского  района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, последствийвлияния указа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нных изменений на доходы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факторный анализвыпадающих и дополнительны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х доходов 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на очереднойфинансовый год по сравнению с текущим годом;</w:t>
      </w:r>
    </w:p>
    <w:p w:rsidR="00A76523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анализ обоснованности объемов межбюджетных трансфертовпредоставляе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 xml:space="preserve">мых из краевого бюджета бюджету Большеулуйского  района 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>в форме дотаций, субсидий, субвенций, иных ме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жбюджетных трансфертов;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анализ соответствия мероприятий, предусмотренных в проекте </w:t>
      </w:r>
      <w:r w:rsidR="00D91F78">
        <w:rPr>
          <w:rFonts w:ascii="Times New Roman" w:hAnsi="Times New Roman" w:cs="Times New Roman"/>
          <w:color w:val="auto"/>
          <w:sz w:val="28"/>
          <w:szCs w:val="28"/>
        </w:rPr>
        <w:t>решения  о 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положениям Бюджетных посланий Президента РФ.</w:t>
      </w:r>
    </w:p>
    <w:p w:rsidR="00F23FE1" w:rsidRPr="00F23FE1" w:rsidRDefault="00F23FE1" w:rsidP="00A7652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2.2.2.6. Проверка и анализ обоснованности и достоверности формированияисто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чников финансирования дефицита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 и предельных размеровгосударственного долга в проекте 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бюджете предусматривает: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сопоставление динамики средств на погашение государственного долга,предусмотренных в проекте 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бюджета, с аналогичными показателями заотчетный финансовый год, утвержденными и ожидаемыми показателями текущегогода, а также предельных размеров государственного долга (на 1 января года,следующего за очередным финансовым годом и каждым годом планового периода);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оценку соответствия основным направлениям долговой политики объемовгосударственных заимствований, влияния предлагаемых масштабов и форм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заимствований на динамику и условия обслуживания задолженности;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оценку обоснованности и достоверности предельных размеровгосударственного долга, изменения его структуры, бюджетных ассигнований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на погашение государственного долга и новых государственных заимствованийв соответствии с основными направлениями долговой политики;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оценку обоснованности формирования источников внутреннего</w:t>
      </w:r>
      <w:r w:rsidR="00A76523"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финансирования дефицита районного</w:t>
      </w:r>
      <w:r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F23FE1" w:rsidRPr="00F23FE1" w:rsidRDefault="00F23FE1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FE1">
        <w:rPr>
          <w:rFonts w:ascii="Times New Roman" w:hAnsi="Times New Roman" w:cs="Times New Roman"/>
          <w:color w:val="auto"/>
          <w:sz w:val="28"/>
          <w:szCs w:val="28"/>
        </w:rPr>
        <w:t>оценку обоснованности поступлений из иных источников финансирования</w:t>
      </w:r>
    </w:p>
    <w:p w:rsidR="00F23FE1" w:rsidRDefault="00A76523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дефицита районного</w:t>
      </w:r>
      <w:r w:rsidR="00F23FE1" w:rsidRPr="00F23FE1">
        <w:rPr>
          <w:rFonts w:ascii="Times New Roman" w:hAnsi="Times New Roman" w:cs="Times New Roman"/>
          <w:color w:val="auto"/>
          <w:sz w:val="28"/>
          <w:szCs w:val="28"/>
        </w:rPr>
        <w:t xml:space="preserve"> бюджета.</w:t>
      </w:r>
    </w:p>
    <w:p w:rsidR="00A76523" w:rsidRDefault="00A76523" w:rsidP="0043767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5E9" w:rsidRPr="008425E9" w:rsidRDefault="008425E9" w:rsidP="008425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25E9">
        <w:rPr>
          <w:rFonts w:ascii="Times New Roman" w:hAnsi="Times New Roman" w:cs="Times New Roman"/>
          <w:b/>
          <w:bCs/>
          <w:color w:val="auto"/>
          <w:sz w:val="28"/>
          <w:szCs w:val="28"/>
        </w:rPr>
        <w:t>2.3. Организационные основы осуществления финансово-экономической</w:t>
      </w:r>
    </w:p>
    <w:p w:rsidR="008425E9" w:rsidRDefault="008425E9" w:rsidP="008425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э</w:t>
      </w:r>
      <w:r w:rsidRPr="008425E9">
        <w:rPr>
          <w:rFonts w:ascii="Times New Roman" w:hAnsi="Times New Roman" w:cs="Times New Roman"/>
          <w:b/>
          <w:bCs/>
          <w:color w:val="auto"/>
          <w:sz w:val="28"/>
          <w:szCs w:val="28"/>
        </w:rPr>
        <w:t>кспертизы</w:t>
      </w:r>
    </w:p>
    <w:p w:rsidR="008425E9" w:rsidRPr="008425E9" w:rsidRDefault="008425E9" w:rsidP="008425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425E9" w:rsidRDefault="008425E9" w:rsidP="000606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2.3.1. При поступлении в Контрольно-счетный  орган   проекта решения о районном бюджете председатель  Контрольно-счетного  органа подготавливает  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>распоряжение  о  рассмотрении  проекта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25E9" w:rsidRDefault="008425E9" w:rsidP="000606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2.3.2. В соответствии с 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Председателя Контрольно-счетного  органа 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>назначаются  исполнители  для  проведения  финансово-экономической  экспертизы и устанавливается дата подготовки проекта Заключения.</w:t>
      </w:r>
    </w:p>
    <w:p w:rsidR="008425E9" w:rsidRDefault="008425E9" w:rsidP="000606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Исполнители проводят финансово-экономическую экспертизу,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 xml:space="preserve"> для  рассмотрения  и  подписания  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езультаты финансово-экономической экспертизы предоставляются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 xml:space="preserve">  председателю  Контрольно-счетного  органа. </w:t>
      </w:r>
    </w:p>
    <w:p w:rsidR="008425E9" w:rsidRDefault="008425E9" w:rsidP="000606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.Заключение направляется в </w:t>
      </w:r>
      <w:r w:rsidR="000606CD">
        <w:rPr>
          <w:rFonts w:ascii="Times New Roman" w:hAnsi="Times New Roman" w:cs="Times New Roman"/>
          <w:color w:val="auto"/>
          <w:sz w:val="28"/>
          <w:szCs w:val="28"/>
        </w:rPr>
        <w:t>Большеулуйский  районный  Совет  депутатов.</w:t>
      </w:r>
    </w:p>
    <w:p w:rsidR="001B72FD" w:rsidRDefault="001B72F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06CD" w:rsidRPr="000606CD" w:rsidRDefault="000606CD" w:rsidP="000606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06CD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Структура и основные положения содержания заключения</w:t>
      </w:r>
    </w:p>
    <w:p w:rsidR="000606CD" w:rsidRPr="000606CD" w:rsidRDefault="000606CD" w:rsidP="000606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Контрольно-счетным  органом на проект решения</w:t>
      </w:r>
      <w:r w:rsidRPr="000606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районном</w:t>
      </w:r>
    </w:p>
    <w:p w:rsidR="000606CD" w:rsidRDefault="000606CD" w:rsidP="000606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06CD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бюджете на очередной финансовый год и плановый период</w:t>
      </w:r>
    </w:p>
    <w:p w:rsidR="000606CD" w:rsidRP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6CD" w:rsidRDefault="000606CD" w:rsidP="003714E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заключении </w:t>
      </w:r>
      <w:r w:rsidR="003714E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Контрольно-счетным  органом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финансово-экономическойэкспертизы проекта </w:t>
      </w:r>
      <w:r w:rsidR="003714EE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3714EE"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бюджете должно быть отраженоследующее: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Наименование законопроекта.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Замечания к законопроекту и к его отдельным частям (статьям, пунктам,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подпунктам).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Предложения по законопроекту и его отдельным частям (статьям,пунктам, подпунктам).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 Иная необходимая информация (анализ законопроекта, нормативнойправовой базы, вопросов, касающихся предмета регулирования законопроекта,ссылки на нормативные правовые акты, иные заключения </w:t>
      </w:r>
      <w:r w:rsidR="003714EE">
        <w:rPr>
          <w:rFonts w:ascii="Times New Roman" w:hAnsi="Times New Roman" w:cs="Times New Roman"/>
          <w:color w:val="auto"/>
          <w:sz w:val="28"/>
          <w:szCs w:val="28"/>
        </w:rPr>
        <w:t>Контрольно-счетного 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,документы и материалы, используемые при подготовке заключения, установленныефакты и обстоятельства, выводы и др.).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 Вместе с заключением готовится сопроводительное письмо.</w:t>
      </w:r>
    </w:p>
    <w:p w:rsidR="000606CD" w:rsidRDefault="000606CD" w:rsidP="003714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Образец оформления сопроводительного письма приведен в приложении</w:t>
      </w:r>
      <w:r w:rsidR="003714EE">
        <w:rPr>
          <w:rFonts w:ascii="Times New Roman" w:hAnsi="Times New Roman" w:cs="Times New Roman"/>
          <w:color w:val="auto"/>
          <w:sz w:val="28"/>
          <w:szCs w:val="28"/>
        </w:rPr>
        <w:t xml:space="preserve">  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Стандарту.</w:t>
      </w:r>
    </w:p>
    <w:p w:rsidR="000606CD" w:rsidRDefault="000606C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06CD" w:rsidRDefault="000606CD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D9608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A8F" w:rsidRDefault="00B42A8F" w:rsidP="00B42A8F">
      <w:pPr>
        <w:widowControl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Образец</w:t>
      </w:r>
    </w:p>
    <w:p w:rsidR="00C050CE" w:rsidRPr="00C050CE" w:rsidRDefault="00B42A8F" w:rsidP="00B42A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 xml:space="preserve">оформления </w:t>
      </w:r>
      <w:r w:rsidR="003714EE">
        <w:rPr>
          <w:rFonts w:ascii="Times New Roman,Italic" w:hAnsi="Times New Roman,Italic" w:cs="Times New Roman,Italic"/>
          <w:i/>
          <w:iCs/>
          <w:color w:val="auto"/>
          <w:sz w:val="20"/>
          <w:szCs w:val="20"/>
        </w:rPr>
        <w:t>сопроводительного письма</w:t>
      </w:r>
      <w:r w:rsidR="00C050CE" w:rsidRPr="00C050CE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88284D" w:rsidRDefault="00C050CE" w:rsidP="00C050CE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C050CE"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ab/>
      </w:r>
      <w:r w:rsidRPr="00C050CE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="003714EE">
        <w:rPr>
          <w:b w:val="0"/>
          <w:color w:val="auto"/>
          <w:sz w:val="28"/>
          <w:szCs w:val="28"/>
        </w:rPr>
        <w:t>к пункту 3</w:t>
      </w:r>
      <w:r w:rsidRPr="00C050CE">
        <w:rPr>
          <w:b w:val="0"/>
          <w:color w:val="auto"/>
          <w:sz w:val="28"/>
          <w:szCs w:val="28"/>
        </w:rPr>
        <w:t>.</w:t>
      </w:r>
      <w:r w:rsidR="003714EE">
        <w:rPr>
          <w:b w:val="0"/>
          <w:color w:val="auto"/>
          <w:sz w:val="28"/>
          <w:szCs w:val="28"/>
        </w:rPr>
        <w:t>5</w:t>
      </w:r>
      <w:r w:rsidRPr="00C050CE">
        <w:rPr>
          <w:b w:val="0"/>
          <w:color w:val="auto"/>
          <w:sz w:val="28"/>
          <w:szCs w:val="28"/>
        </w:rPr>
        <w:t xml:space="preserve"> Стандарта</w:t>
      </w:r>
    </w:p>
    <w:p w:rsidR="00C050CE" w:rsidRDefault="00C050CE" w:rsidP="00C050CE">
      <w:pPr>
        <w:pStyle w:val="13"/>
        <w:keepNext/>
        <w:keepLines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5810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27" w:type="dxa"/>
              <w:tblLook w:val="01E0"/>
            </w:tblPr>
            <w:tblGrid>
              <w:gridCol w:w="8931"/>
              <w:gridCol w:w="4596"/>
            </w:tblGrid>
            <w:tr w:rsidR="00C050CE" w:rsidRPr="00C050CE" w:rsidTr="00C9419E">
              <w:tc>
                <w:tcPr>
                  <w:tcW w:w="8931" w:type="dxa"/>
                  <w:shd w:val="clear" w:color="auto" w:fill="auto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КОНТРОЛЬНО-СЧЁТНЫЙ  ОРГАН  </w:t>
                  </w:r>
                </w:p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БОЛЬШЕУЛУЙСКОГО  РАЙОНА  КРАСНОЯРСКОГО  КРАЯ</w:t>
                  </w:r>
                </w:p>
              </w:tc>
              <w:tc>
                <w:tcPr>
                  <w:tcW w:w="4596" w:type="dxa"/>
                  <w:vMerge w:val="restart"/>
                  <w:shd w:val="clear" w:color="auto" w:fill="auto"/>
                  <w:vAlign w:val="center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  <w:r w:rsidRPr="00C050CE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  <w:t>Кому</w:t>
                  </w:r>
                </w:p>
              </w:tc>
            </w:tr>
            <w:tr w:rsidR="00C050CE" w:rsidRPr="00C050CE" w:rsidTr="00C9419E">
              <w:tc>
                <w:tcPr>
                  <w:tcW w:w="8931" w:type="dxa"/>
                  <w:shd w:val="clear" w:color="auto" w:fill="auto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4596" w:type="dxa"/>
                  <w:vMerge/>
                  <w:shd w:val="clear" w:color="auto" w:fill="auto"/>
                  <w:vAlign w:val="center"/>
                </w:tcPr>
                <w:p w:rsidR="00C050CE" w:rsidRPr="00C050CE" w:rsidRDefault="00C050CE" w:rsidP="00C050CE">
                  <w:pPr>
                    <w:widowControl/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</w:rPr>
                  </w:pPr>
                </w:p>
              </w:tc>
            </w:tr>
          </w:tbl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017D82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7D82">
              <w:rPr>
                <w:rFonts w:ascii="Times New Roman" w:eastAsia="Times New Roman" w:hAnsi="Times New Roman" w:cs="Times New Roman"/>
                <w:noProof/>
                <w:color w:val="auto"/>
              </w:rPr>
              <w:pict>
                <v:line id="Прямая соединительная линия 3" o:spid="_x0000_s1026" style="position:absolute;left:0;text-align:left;flip:y;z-index:251658240;visibility:visible;mso-position-horizontal-relative:text;mso-position-vertical-relative:text" from="14.4pt,6.6pt" to="44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" strokeweight="1pt"/>
              </w:pict>
            </w: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3714EE" w:rsidRPr="00C050CE" w:rsidRDefault="003714EE" w:rsidP="003714EE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ул. Революции, д. 11, с.Большой  Улуй,  Красноярский край, 662110 Тел. конт.:8(39159) 2-14-91 </w:t>
            </w:r>
          </w:p>
          <w:p w:rsidR="003714EE" w:rsidRPr="006207A5" w:rsidRDefault="003714EE" w:rsidP="003714E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C050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– mail: </w:t>
            </w:r>
            <w:hyperlink r:id="rId10" w:history="1">
              <w:r w:rsidRPr="00C050C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ksorg@mail.ru</w:t>
              </w:r>
            </w:hyperlink>
          </w:p>
          <w:p w:rsidR="003714EE" w:rsidRPr="006207A5" w:rsidRDefault="003714EE" w:rsidP="003714E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3714EE" w:rsidRPr="006207A5" w:rsidRDefault="003714EE" w:rsidP="003714E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3714EE" w:rsidRDefault="003714EE" w:rsidP="003714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3E56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«</w:t>
            </w:r>
            <w:r w:rsidRPr="006F3E5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___</w:t>
            </w:r>
            <w:r w:rsidRPr="006F3E56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 xml:space="preserve">» </w:t>
            </w:r>
            <w:r w:rsidRPr="006F3E5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________________ 20__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6F3E5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.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_____________</w:t>
            </w:r>
          </w:p>
          <w:p w:rsidR="00C050CE" w:rsidRPr="00C050CE" w:rsidRDefault="00C050CE" w:rsidP="00C050C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050CE" w:rsidRPr="00C050CE" w:rsidTr="00C9419E">
        <w:tc>
          <w:tcPr>
            <w:tcW w:w="9570" w:type="dxa"/>
            <w:shd w:val="clear" w:color="auto" w:fill="auto"/>
          </w:tcPr>
          <w:p w:rsidR="00C050CE" w:rsidRPr="00C050CE" w:rsidRDefault="00C050CE" w:rsidP="001B72FD">
            <w:pPr>
              <w:widowControl/>
              <w:tabs>
                <w:tab w:val="left" w:pos="0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9419E" w:rsidRP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>Главе  Большеулуйского  района</w:t>
      </w: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ab/>
      </w:r>
    </w:p>
    <w:p w:rsidR="00C9419E" w:rsidRP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>Председателю  Большеулуйского</w:t>
      </w:r>
    </w:p>
    <w:p w:rsidR="00C9419E" w:rsidRDefault="00C9419E" w:rsidP="00C9419E">
      <w:pPr>
        <w:widowControl/>
        <w:ind w:left="57"/>
        <w:jc w:val="both"/>
        <w:rPr>
          <w:rFonts w:ascii="Times New Roman" w:eastAsia="Times New Roman" w:hAnsi="Times New Roman" w:cs="Times New Roman"/>
          <w:spacing w:val="-3"/>
          <w:sz w:val="28"/>
          <w:szCs w:val="32"/>
        </w:rPr>
      </w:pPr>
      <w:r w:rsidRPr="00C9419E">
        <w:rPr>
          <w:rFonts w:ascii="Times New Roman" w:eastAsia="Times New Roman" w:hAnsi="Times New Roman" w:cs="Times New Roman"/>
          <w:spacing w:val="-3"/>
          <w:sz w:val="28"/>
          <w:szCs w:val="32"/>
        </w:rPr>
        <w:t xml:space="preserve">районного  Совета  депутата  </w:t>
      </w:r>
    </w:p>
    <w:p w:rsidR="00C9419E" w:rsidRDefault="00C9419E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ИНИЦИАЛЫ И ФАМИЛИЯ</w:t>
      </w:r>
    </w:p>
    <w:p w:rsidR="003714EE" w:rsidRDefault="003714EE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результатах</w:t>
      </w:r>
    </w:p>
    <w:p w:rsidR="003714EE" w:rsidRDefault="003714EE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финансово-экономической</w:t>
      </w:r>
    </w:p>
    <w:p w:rsidR="003714EE" w:rsidRDefault="003714EE" w:rsidP="003714E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экспертизы проекта решения</w:t>
      </w:r>
    </w:p>
    <w:p w:rsidR="00C9419E" w:rsidRDefault="003714EE" w:rsidP="003714E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 районном  бюджете</w:t>
      </w:r>
    </w:p>
    <w:p w:rsidR="003714EE" w:rsidRDefault="003714EE" w:rsidP="003714E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3714E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Уважаемый(ая) </w:t>
      </w:r>
      <w:r w:rsidRPr="003714EE">
        <w:rPr>
          <w:rFonts w:ascii="Times New Roman" w:hAnsi="Times New Roman" w:cs="Times New Roman"/>
          <w:iCs/>
          <w:color w:val="auto"/>
          <w:sz w:val="28"/>
          <w:szCs w:val="28"/>
        </w:rPr>
        <w:t>имя отчество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3714EE" w:rsidRDefault="003714EE" w:rsidP="003714E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BD54F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 со  статьей 10   Федерального </w:t>
      </w:r>
      <w:r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37605">
        <w:rPr>
          <w:rFonts w:ascii="Times New Roman" w:hAnsi="Times New Roman" w:cs="Times New Roman"/>
          <w:color w:val="auto"/>
          <w:sz w:val="28"/>
          <w:szCs w:val="28"/>
        </w:rPr>
        <w:t xml:space="preserve">от 07.02.2011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N </w:t>
      </w:r>
      <w:r w:rsidRPr="00A37605">
        <w:rPr>
          <w:rFonts w:ascii="Times New Roman" w:hAnsi="Times New Roman" w:cs="Times New Roman"/>
          <w:color w:val="auto"/>
          <w:sz w:val="28"/>
          <w:szCs w:val="28"/>
        </w:rPr>
        <w:t>6-ФЗ(ред. от 04.03.2014)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37605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 и  статьей 23  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 xml:space="preserve">Решения  Большеулуйского  районного  Совета  депутатов  от  30.09.2013     № 232  «О бюджетном 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45CEF">
        <w:rPr>
          <w:rFonts w:ascii="Times New Roman" w:hAnsi="Times New Roman" w:cs="Times New Roman"/>
          <w:color w:val="auto"/>
          <w:sz w:val="28"/>
          <w:szCs w:val="28"/>
        </w:rPr>
        <w:t>роцессе  в Большеулуйском 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направляю Вам заключение на проект 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 xml:space="preserve">решения  о  районном  бюджете  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BD54F5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14EE" w:rsidRDefault="003714EE" w:rsidP="00BD54F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(указать наименование проекта </w:t>
      </w:r>
      <w:r w:rsidR="00BD54F5">
        <w:rPr>
          <w:rFonts w:ascii="Times New Roman" w:hAnsi="Times New Roman" w:cs="Times New Roman"/>
          <w:color w:val="auto"/>
          <w:sz w:val="20"/>
          <w:szCs w:val="20"/>
        </w:rPr>
        <w:t>решения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714EE" w:rsidRDefault="003714EE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Приложение: на ___ л. в ___ экз.</w:t>
      </w:r>
    </w:p>
    <w:p w:rsidR="00BD54F5" w:rsidRDefault="00BD54F5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D54F5" w:rsidRDefault="00BD54F5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714EE" w:rsidRDefault="003714EE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</w:p>
    <w:p w:rsidR="00BD54F5" w:rsidRDefault="00BD54F5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 </w:t>
      </w:r>
    </w:p>
    <w:p w:rsidR="003714EE" w:rsidRDefault="00BD54F5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Большеулуйского  района</w:t>
      </w:r>
      <w:r w:rsidR="003714EE">
        <w:rPr>
          <w:rFonts w:ascii="Times New Roman" w:hAnsi="Times New Roman" w:cs="Times New Roman"/>
          <w:color w:val="auto"/>
          <w:sz w:val="28"/>
          <w:szCs w:val="28"/>
        </w:rPr>
        <w:t>_______________ _________________</w:t>
      </w:r>
    </w:p>
    <w:p w:rsidR="003714EE" w:rsidRDefault="003714EE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(личная подпись) (инициалы и фамилия)</w:t>
      </w:r>
    </w:p>
    <w:p w:rsidR="003714EE" w:rsidRDefault="003714EE" w:rsidP="003714E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Ф.И.О. </w:t>
      </w:r>
      <w:r w:rsidR="00BD54F5">
        <w:rPr>
          <w:rFonts w:ascii="Times New Roman" w:hAnsi="Times New Roman" w:cs="Times New Roman"/>
          <w:color w:val="auto"/>
          <w:sz w:val="20"/>
          <w:szCs w:val="20"/>
        </w:rPr>
        <w:t>инспектора</w:t>
      </w:r>
      <w:r>
        <w:rPr>
          <w:rFonts w:ascii="Times New Roman" w:hAnsi="Times New Roman" w:cs="Times New Roman"/>
          <w:color w:val="auto"/>
          <w:sz w:val="20"/>
          <w:szCs w:val="20"/>
        </w:rPr>
        <w:t>, подписывающего заключение</w:t>
      </w:r>
    </w:p>
    <w:p w:rsidR="003714EE" w:rsidRDefault="003714EE" w:rsidP="003714E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тел.:</w:t>
      </w:r>
    </w:p>
    <w:bookmarkEnd w:id="1"/>
    <w:p w:rsidR="00B4069A" w:rsidRDefault="00B4069A" w:rsidP="00C9419E">
      <w:pPr>
        <w:widowControl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4069A" w:rsidSect="00601063">
      <w:footerReference w:type="default" r:id="rId11"/>
      <w:type w:val="continuous"/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E7" w:rsidRDefault="00C42CE7">
      <w:r>
        <w:separator/>
      </w:r>
    </w:p>
  </w:endnote>
  <w:endnote w:type="continuationSeparator" w:id="1">
    <w:p w:rsidR="00C42CE7" w:rsidRDefault="00C4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268619"/>
      <w:docPartObj>
        <w:docPartGallery w:val="Page Numbers (Bottom of Page)"/>
        <w:docPartUnique/>
      </w:docPartObj>
    </w:sdtPr>
    <w:sdtContent>
      <w:p w:rsidR="008425E9" w:rsidRDefault="00017D82">
        <w:pPr>
          <w:pStyle w:val="ac"/>
          <w:jc w:val="right"/>
        </w:pPr>
        <w:r>
          <w:fldChar w:fldCharType="begin"/>
        </w:r>
        <w:r w:rsidR="008425E9">
          <w:instrText>PAGE   \* MERGEFORMAT</w:instrText>
        </w:r>
        <w:r>
          <w:fldChar w:fldCharType="separate"/>
        </w:r>
        <w:r w:rsidR="00F9435A">
          <w:rPr>
            <w:noProof/>
          </w:rPr>
          <w:t>1</w:t>
        </w:r>
        <w:r>
          <w:fldChar w:fldCharType="end"/>
        </w:r>
      </w:p>
    </w:sdtContent>
  </w:sdt>
  <w:p w:rsidR="008425E9" w:rsidRDefault="008425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E7" w:rsidRDefault="00C42CE7"/>
  </w:footnote>
  <w:footnote w:type="continuationSeparator" w:id="1">
    <w:p w:rsidR="00C42CE7" w:rsidRDefault="00C42C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304FA"/>
    <w:multiLevelType w:val="hybridMultilevel"/>
    <w:tmpl w:val="384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E51C68"/>
    <w:multiLevelType w:val="hybridMultilevel"/>
    <w:tmpl w:val="49D2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142F"/>
    <w:rsid w:val="00013327"/>
    <w:rsid w:val="00017D82"/>
    <w:rsid w:val="0004607D"/>
    <w:rsid w:val="000503DD"/>
    <w:rsid w:val="000505C6"/>
    <w:rsid w:val="00055C90"/>
    <w:rsid w:val="000561EB"/>
    <w:rsid w:val="0005666D"/>
    <w:rsid w:val="000606CD"/>
    <w:rsid w:val="000610F4"/>
    <w:rsid w:val="00064DCE"/>
    <w:rsid w:val="00072417"/>
    <w:rsid w:val="000815E5"/>
    <w:rsid w:val="000A1293"/>
    <w:rsid w:val="000D63D8"/>
    <w:rsid w:val="000F2C57"/>
    <w:rsid w:val="000F37C4"/>
    <w:rsid w:val="00106E8E"/>
    <w:rsid w:val="00113B94"/>
    <w:rsid w:val="00120E8E"/>
    <w:rsid w:val="001323FD"/>
    <w:rsid w:val="0018599F"/>
    <w:rsid w:val="0019599B"/>
    <w:rsid w:val="001A673E"/>
    <w:rsid w:val="001B72FD"/>
    <w:rsid w:val="0020499C"/>
    <w:rsid w:val="0021142F"/>
    <w:rsid w:val="0021633F"/>
    <w:rsid w:val="00237FCB"/>
    <w:rsid w:val="00275BA9"/>
    <w:rsid w:val="00275DCD"/>
    <w:rsid w:val="002803F5"/>
    <w:rsid w:val="002D2172"/>
    <w:rsid w:val="002D46C0"/>
    <w:rsid w:val="003221D0"/>
    <w:rsid w:val="00347731"/>
    <w:rsid w:val="0037057E"/>
    <w:rsid w:val="003714EE"/>
    <w:rsid w:val="0039285B"/>
    <w:rsid w:val="003B2D72"/>
    <w:rsid w:val="003D78DD"/>
    <w:rsid w:val="003F0BA7"/>
    <w:rsid w:val="003F1BCC"/>
    <w:rsid w:val="003F7AED"/>
    <w:rsid w:val="00422548"/>
    <w:rsid w:val="00433103"/>
    <w:rsid w:val="0043767A"/>
    <w:rsid w:val="00447C1E"/>
    <w:rsid w:val="00461C90"/>
    <w:rsid w:val="00463830"/>
    <w:rsid w:val="00487136"/>
    <w:rsid w:val="004A6F44"/>
    <w:rsid w:val="004B1C1F"/>
    <w:rsid w:val="004B3CD4"/>
    <w:rsid w:val="004C3B5C"/>
    <w:rsid w:val="004F65D2"/>
    <w:rsid w:val="00501031"/>
    <w:rsid w:val="0050543E"/>
    <w:rsid w:val="00580BA2"/>
    <w:rsid w:val="00583216"/>
    <w:rsid w:val="0058517E"/>
    <w:rsid w:val="005A18E1"/>
    <w:rsid w:val="005A3721"/>
    <w:rsid w:val="005B6392"/>
    <w:rsid w:val="005E1CDF"/>
    <w:rsid w:val="00601063"/>
    <w:rsid w:val="006029D4"/>
    <w:rsid w:val="006207A5"/>
    <w:rsid w:val="00625146"/>
    <w:rsid w:val="0063273A"/>
    <w:rsid w:val="00651AB4"/>
    <w:rsid w:val="006622D9"/>
    <w:rsid w:val="0066269C"/>
    <w:rsid w:val="00687CCB"/>
    <w:rsid w:val="006966C9"/>
    <w:rsid w:val="006B79D2"/>
    <w:rsid w:val="006C0148"/>
    <w:rsid w:val="006C7A5F"/>
    <w:rsid w:val="006D2FB9"/>
    <w:rsid w:val="006E3256"/>
    <w:rsid w:val="006F1843"/>
    <w:rsid w:val="006F332B"/>
    <w:rsid w:val="006F3E56"/>
    <w:rsid w:val="00701E09"/>
    <w:rsid w:val="00790F14"/>
    <w:rsid w:val="007B52BF"/>
    <w:rsid w:val="007C04D4"/>
    <w:rsid w:val="007C1D1D"/>
    <w:rsid w:val="007D0B8A"/>
    <w:rsid w:val="007D7E8C"/>
    <w:rsid w:val="007E795B"/>
    <w:rsid w:val="007F4B65"/>
    <w:rsid w:val="00803945"/>
    <w:rsid w:val="0080412D"/>
    <w:rsid w:val="00831471"/>
    <w:rsid w:val="008329AA"/>
    <w:rsid w:val="0083682D"/>
    <w:rsid w:val="008425E9"/>
    <w:rsid w:val="00856C33"/>
    <w:rsid w:val="008733A8"/>
    <w:rsid w:val="0088284D"/>
    <w:rsid w:val="008A423F"/>
    <w:rsid w:val="00922480"/>
    <w:rsid w:val="00925034"/>
    <w:rsid w:val="00967F11"/>
    <w:rsid w:val="00977BE6"/>
    <w:rsid w:val="009976C3"/>
    <w:rsid w:val="009A129B"/>
    <w:rsid w:val="00A11FF0"/>
    <w:rsid w:val="00A23CFB"/>
    <w:rsid w:val="00A27111"/>
    <w:rsid w:val="00A30272"/>
    <w:rsid w:val="00A31A97"/>
    <w:rsid w:val="00A37605"/>
    <w:rsid w:val="00A45CEF"/>
    <w:rsid w:val="00A46D30"/>
    <w:rsid w:val="00A47563"/>
    <w:rsid w:val="00A53DA4"/>
    <w:rsid w:val="00A6124C"/>
    <w:rsid w:val="00A6511A"/>
    <w:rsid w:val="00A7260A"/>
    <w:rsid w:val="00A76523"/>
    <w:rsid w:val="00AA2A78"/>
    <w:rsid w:val="00AB01E8"/>
    <w:rsid w:val="00AC0663"/>
    <w:rsid w:val="00AC18AB"/>
    <w:rsid w:val="00AD01FC"/>
    <w:rsid w:val="00AF13FD"/>
    <w:rsid w:val="00AF31E6"/>
    <w:rsid w:val="00AF6718"/>
    <w:rsid w:val="00B06963"/>
    <w:rsid w:val="00B133ED"/>
    <w:rsid w:val="00B26E1A"/>
    <w:rsid w:val="00B36471"/>
    <w:rsid w:val="00B4069A"/>
    <w:rsid w:val="00B42A8F"/>
    <w:rsid w:val="00B55A49"/>
    <w:rsid w:val="00B64BD0"/>
    <w:rsid w:val="00B86C1F"/>
    <w:rsid w:val="00BB695D"/>
    <w:rsid w:val="00BB6EA6"/>
    <w:rsid w:val="00BD399E"/>
    <w:rsid w:val="00BD54F5"/>
    <w:rsid w:val="00BD748E"/>
    <w:rsid w:val="00BE2379"/>
    <w:rsid w:val="00BE38BC"/>
    <w:rsid w:val="00C050CE"/>
    <w:rsid w:val="00C05ABE"/>
    <w:rsid w:val="00C27554"/>
    <w:rsid w:val="00C41083"/>
    <w:rsid w:val="00C42CE7"/>
    <w:rsid w:val="00C45A56"/>
    <w:rsid w:val="00C53908"/>
    <w:rsid w:val="00C57884"/>
    <w:rsid w:val="00C84818"/>
    <w:rsid w:val="00C9342E"/>
    <w:rsid w:val="00C9419E"/>
    <w:rsid w:val="00C96507"/>
    <w:rsid w:val="00CA0B41"/>
    <w:rsid w:val="00D131C0"/>
    <w:rsid w:val="00D214FD"/>
    <w:rsid w:val="00D21E34"/>
    <w:rsid w:val="00D220C4"/>
    <w:rsid w:val="00D26AAB"/>
    <w:rsid w:val="00D72B9A"/>
    <w:rsid w:val="00D91F78"/>
    <w:rsid w:val="00D96083"/>
    <w:rsid w:val="00DA281B"/>
    <w:rsid w:val="00DA3275"/>
    <w:rsid w:val="00DB7752"/>
    <w:rsid w:val="00DD74B1"/>
    <w:rsid w:val="00DD7685"/>
    <w:rsid w:val="00DE6565"/>
    <w:rsid w:val="00DE681F"/>
    <w:rsid w:val="00E24F0E"/>
    <w:rsid w:val="00E355BC"/>
    <w:rsid w:val="00E60021"/>
    <w:rsid w:val="00E74037"/>
    <w:rsid w:val="00E82F78"/>
    <w:rsid w:val="00E86F5D"/>
    <w:rsid w:val="00EA4916"/>
    <w:rsid w:val="00EC3568"/>
    <w:rsid w:val="00EC41A4"/>
    <w:rsid w:val="00F23FE1"/>
    <w:rsid w:val="00F40D1C"/>
    <w:rsid w:val="00F617F4"/>
    <w:rsid w:val="00F66D7A"/>
    <w:rsid w:val="00F86450"/>
    <w:rsid w:val="00F9435A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D8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1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017D8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01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01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01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01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01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017D8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017D82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017D8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017D82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017D8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lui@kras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2014-10-27T08:39:00Z</cp:lastPrinted>
  <dcterms:created xsi:type="dcterms:W3CDTF">2014-10-06T04:20:00Z</dcterms:created>
  <dcterms:modified xsi:type="dcterms:W3CDTF">2015-01-19T09:31:00Z</dcterms:modified>
</cp:coreProperties>
</file>