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7" w:rsidRDefault="00A70EA7"/>
    <w:p w:rsidR="005F32FF" w:rsidRDefault="005F32FF"/>
    <w:p w:rsidR="00594970" w:rsidRPr="002645E0" w:rsidRDefault="00594970" w:rsidP="00594970">
      <w:pPr>
        <w:rPr>
          <w:rFonts w:ascii="Times New Roman" w:hAnsi="Times New Roman"/>
          <w:sz w:val="28"/>
          <w:szCs w:val="28"/>
        </w:rPr>
      </w:pPr>
      <w:r w:rsidRPr="004A16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70" w:rsidRPr="002645E0" w:rsidRDefault="00594970" w:rsidP="00594970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594970" w:rsidRPr="002645E0" w:rsidRDefault="00594970" w:rsidP="00594970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>АДМИНИСТРАЦИЯ БОЛЬШЕУЛУЙСКОГО РАЙОНА</w:t>
      </w:r>
    </w:p>
    <w:p w:rsidR="00594970" w:rsidRPr="002645E0" w:rsidRDefault="00594970" w:rsidP="00594970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5F32FF" w:rsidRPr="00DD0C00" w:rsidRDefault="00F82CDC" w:rsidP="00DD0C00">
      <w:pPr>
        <w:rPr>
          <w:rFonts w:ascii="Times New Roman" w:hAnsi="Times New Roman"/>
          <w:color w:val="000000"/>
          <w:sz w:val="28"/>
          <w:szCs w:val="28"/>
        </w:rPr>
      </w:pPr>
      <w:r w:rsidRPr="00F82CDC">
        <w:rPr>
          <w:rFonts w:ascii="Times New Roman" w:hAnsi="Times New Roman"/>
          <w:b/>
          <w:noProof/>
          <w:sz w:val="28"/>
          <w:szCs w:val="28"/>
        </w:rPr>
        <w:t>10.10.2019</w:t>
      </w:r>
      <w:r w:rsidR="00594970">
        <w:rPr>
          <w:rFonts w:ascii="Times New Roman" w:hAnsi="Times New Roman"/>
          <w:noProof/>
        </w:rPr>
        <w:t xml:space="preserve">                      </w:t>
      </w:r>
      <w:r w:rsidR="00C94319">
        <w:rPr>
          <w:rFonts w:ascii="Times New Roman" w:hAnsi="Times New Roman"/>
          <w:noProof/>
        </w:rPr>
        <w:t xml:space="preserve">   </w:t>
      </w:r>
      <w:r w:rsidR="00D16595">
        <w:rPr>
          <w:rFonts w:ascii="Times New Roman" w:hAnsi="Times New Roman"/>
          <w:noProof/>
        </w:rPr>
        <w:t xml:space="preserve">          </w:t>
      </w:r>
      <w:r>
        <w:rPr>
          <w:rFonts w:ascii="Times New Roman" w:hAnsi="Times New Roman"/>
          <w:noProof/>
        </w:rPr>
        <w:t xml:space="preserve"> </w:t>
      </w:r>
      <w:r w:rsidR="00D16595">
        <w:rPr>
          <w:rFonts w:ascii="Times New Roman" w:hAnsi="Times New Roman"/>
          <w:noProof/>
        </w:rPr>
        <w:t xml:space="preserve">    </w:t>
      </w:r>
      <w:r w:rsidR="00C94319">
        <w:rPr>
          <w:rFonts w:ascii="Times New Roman" w:hAnsi="Times New Roman"/>
          <w:noProof/>
        </w:rPr>
        <w:t xml:space="preserve"> </w:t>
      </w:r>
      <w:r w:rsidR="00594970">
        <w:rPr>
          <w:rFonts w:ascii="Times New Roman" w:hAnsi="Times New Roman"/>
          <w:noProof/>
        </w:rPr>
        <w:t xml:space="preserve"> </w:t>
      </w:r>
      <w:r w:rsidR="00594970" w:rsidRPr="00F82CDC">
        <w:rPr>
          <w:rFonts w:ascii="Times New Roman" w:hAnsi="Times New Roman"/>
          <w:noProof/>
          <w:sz w:val="24"/>
          <w:szCs w:val="24"/>
        </w:rPr>
        <w:t>с. Большой Улуй</w:t>
      </w:r>
      <w:r w:rsidR="005F32FF" w:rsidRPr="00C94319">
        <w:rPr>
          <w:rFonts w:ascii="Times New Roman" w:hAnsi="Times New Roman"/>
          <w:noProof/>
          <w:sz w:val="28"/>
          <w:szCs w:val="28"/>
        </w:rPr>
        <w:t xml:space="preserve">        </w:t>
      </w:r>
      <w:r w:rsidR="003B09A6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="003B09A6" w:rsidRPr="003B09A6">
        <w:rPr>
          <w:rFonts w:ascii="Times New Roman" w:hAnsi="Times New Roman"/>
          <w:b/>
          <w:noProof/>
          <w:sz w:val="28"/>
          <w:szCs w:val="28"/>
        </w:rPr>
        <w:t>№ 229-п</w:t>
      </w:r>
      <w:r w:rsidR="005F32FF" w:rsidRPr="003B09A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F32FF" w:rsidRPr="00C94319">
        <w:rPr>
          <w:rFonts w:ascii="Times New Roman" w:hAnsi="Times New Roman"/>
          <w:noProof/>
          <w:sz w:val="28"/>
          <w:szCs w:val="28"/>
        </w:rPr>
        <w:t xml:space="preserve">       </w:t>
      </w:r>
      <w:r w:rsidR="003357A1">
        <w:rPr>
          <w:rFonts w:ascii="Times New Roman" w:hAnsi="Times New Roman"/>
          <w:noProof/>
          <w:sz w:val="28"/>
          <w:szCs w:val="28"/>
        </w:rPr>
        <w:t xml:space="preserve">         </w:t>
      </w:r>
      <w:r w:rsidR="005F32FF" w:rsidRPr="00C94319">
        <w:rPr>
          <w:rFonts w:ascii="Times New Roman" w:hAnsi="Times New Roman"/>
          <w:noProof/>
          <w:sz w:val="28"/>
          <w:szCs w:val="28"/>
        </w:rPr>
        <w:t xml:space="preserve">      </w:t>
      </w:r>
      <w:r w:rsidR="003357A1">
        <w:rPr>
          <w:rFonts w:ascii="Times New Roman" w:hAnsi="Times New Roman"/>
          <w:noProof/>
          <w:sz w:val="28"/>
          <w:szCs w:val="28"/>
        </w:rPr>
        <w:t xml:space="preserve">    </w:t>
      </w:r>
      <w:r w:rsidR="005F32F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F32FF">
        <w:rPr>
          <w:rFonts w:ascii="Times New Roman" w:hAnsi="Times New Roman"/>
          <w:color w:val="000000"/>
          <w:sz w:val="24"/>
        </w:rPr>
        <w:t xml:space="preserve">                        </w:t>
      </w:r>
    </w:p>
    <w:p w:rsidR="00873D5F" w:rsidRDefault="00873D5F" w:rsidP="004A5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EE5CC0" w:rsidRDefault="004A5FAF" w:rsidP="004A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AF">
        <w:rPr>
          <w:rFonts w:ascii="Times New Roman" w:hAnsi="Times New Roman"/>
          <w:sz w:val="28"/>
          <w:szCs w:val="28"/>
        </w:rPr>
        <w:t>О</w:t>
      </w:r>
      <w:r w:rsidR="00EE5CC0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F55D28" w:rsidRDefault="00EE5CC0" w:rsidP="004A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от 07.03.2019 №53-п</w:t>
      </w:r>
      <w:r w:rsidR="004A5FAF" w:rsidRPr="004A5FAF">
        <w:rPr>
          <w:rFonts w:ascii="Times New Roman" w:hAnsi="Times New Roman"/>
          <w:sz w:val="28"/>
          <w:szCs w:val="28"/>
        </w:rPr>
        <w:t xml:space="preserve"> </w:t>
      </w:r>
    </w:p>
    <w:p w:rsidR="00EE5CC0" w:rsidRDefault="00EE5CC0" w:rsidP="004A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</w:t>
      </w:r>
    </w:p>
    <w:p w:rsidR="00F55D28" w:rsidRDefault="00F55D28" w:rsidP="004A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5FAF" w:rsidRPr="004A5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A5FAF" w:rsidRPr="004A5FAF">
        <w:rPr>
          <w:rFonts w:ascii="Times New Roman" w:hAnsi="Times New Roman"/>
          <w:sz w:val="28"/>
          <w:szCs w:val="28"/>
        </w:rPr>
        <w:t xml:space="preserve">содействию развитию конкуренции </w:t>
      </w:r>
    </w:p>
    <w:p w:rsidR="004A5FAF" w:rsidRPr="004A5FAF" w:rsidRDefault="004A5FAF" w:rsidP="004A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AF">
        <w:rPr>
          <w:rFonts w:ascii="Times New Roman" w:hAnsi="Times New Roman"/>
          <w:sz w:val="28"/>
          <w:szCs w:val="28"/>
        </w:rPr>
        <w:t>в</w:t>
      </w:r>
      <w:r w:rsidR="00F55D28">
        <w:rPr>
          <w:rFonts w:ascii="Times New Roman" w:hAnsi="Times New Roman"/>
          <w:sz w:val="28"/>
          <w:szCs w:val="28"/>
        </w:rPr>
        <w:t xml:space="preserve"> </w:t>
      </w:r>
      <w:r w:rsidRPr="004A5FA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ольшеулуй</w:t>
      </w:r>
      <w:r w:rsidRPr="004A5FAF">
        <w:rPr>
          <w:rFonts w:ascii="Times New Roman" w:hAnsi="Times New Roman"/>
          <w:sz w:val="28"/>
          <w:szCs w:val="28"/>
        </w:rPr>
        <w:t>ском районе</w:t>
      </w:r>
      <w:r w:rsidR="00EE5CC0">
        <w:rPr>
          <w:rFonts w:ascii="Times New Roman" w:hAnsi="Times New Roman"/>
          <w:sz w:val="28"/>
          <w:szCs w:val="28"/>
        </w:rPr>
        <w:t>»</w:t>
      </w:r>
    </w:p>
    <w:p w:rsidR="004A5FAF" w:rsidRPr="004A5FAF" w:rsidRDefault="004A5FAF" w:rsidP="004A5FAF">
      <w:pPr>
        <w:spacing w:after="0" w:line="240" w:lineRule="auto"/>
        <w:ind w:left="-142" w:right="-80" w:firstLine="540"/>
        <w:jc w:val="both"/>
        <w:rPr>
          <w:rFonts w:ascii="Times New Roman" w:hAnsi="Times New Roman"/>
          <w:sz w:val="28"/>
          <w:szCs w:val="28"/>
        </w:rPr>
      </w:pPr>
    </w:p>
    <w:p w:rsidR="004A5FAF" w:rsidRDefault="004A5FAF" w:rsidP="004A5FA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5FAF">
        <w:rPr>
          <w:rFonts w:ascii="Times New Roman" w:hAnsi="Times New Roman"/>
          <w:b/>
          <w:sz w:val="28"/>
          <w:szCs w:val="28"/>
        </w:rPr>
        <w:tab/>
      </w:r>
      <w:r w:rsidRPr="004A5FAF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EE5CC0">
        <w:rPr>
          <w:rFonts w:ascii="Times New Roman" w:hAnsi="Times New Roman"/>
          <w:sz w:val="28"/>
          <w:szCs w:val="28"/>
        </w:rPr>
        <w:t>17</w:t>
      </w:r>
      <w:r w:rsidRPr="004A5FAF">
        <w:rPr>
          <w:rFonts w:ascii="Times New Roman" w:hAnsi="Times New Roman"/>
          <w:sz w:val="28"/>
          <w:szCs w:val="28"/>
        </w:rPr>
        <w:t xml:space="preserve"> </w:t>
      </w:r>
      <w:r w:rsidR="00EE5CC0">
        <w:rPr>
          <w:rFonts w:ascii="Times New Roman" w:hAnsi="Times New Roman"/>
          <w:sz w:val="28"/>
          <w:szCs w:val="28"/>
        </w:rPr>
        <w:t>апреля</w:t>
      </w:r>
      <w:r w:rsidRPr="004A5FAF">
        <w:rPr>
          <w:rFonts w:ascii="Times New Roman" w:hAnsi="Times New Roman"/>
          <w:sz w:val="28"/>
          <w:szCs w:val="28"/>
        </w:rPr>
        <w:t xml:space="preserve"> 201</w:t>
      </w:r>
      <w:r w:rsidR="00EE5CC0">
        <w:rPr>
          <w:rFonts w:ascii="Times New Roman" w:hAnsi="Times New Roman"/>
          <w:sz w:val="28"/>
          <w:szCs w:val="28"/>
        </w:rPr>
        <w:t>9</w:t>
      </w:r>
      <w:r w:rsidRPr="004A5FAF">
        <w:rPr>
          <w:rFonts w:ascii="Times New Roman" w:hAnsi="Times New Roman"/>
          <w:sz w:val="28"/>
          <w:szCs w:val="28"/>
        </w:rPr>
        <w:t xml:space="preserve"> года № 7</w:t>
      </w:r>
      <w:r w:rsidR="00EE5CC0">
        <w:rPr>
          <w:rFonts w:ascii="Times New Roman" w:hAnsi="Times New Roman"/>
          <w:sz w:val="28"/>
          <w:szCs w:val="28"/>
        </w:rPr>
        <w:t>6</w:t>
      </w:r>
      <w:r w:rsidRPr="004A5FAF">
        <w:rPr>
          <w:rFonts w:ascii="Times New Roman" w:hAnsi="Times New Roman"/>
          <w:sz w:val="28"/>
          <w:szCs w:val="28"/>
        </w:rPr>
        <w:t>8-р «Об утверждении стандарта развития конкуренции в субъектах Российской Федерации»,</w:t>
      </w:r>
      <w:r w:rsidRPr="004A5F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18, 21, 35 Устава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4A5FAF" w:rsidRDefault="004A5FAF" w:rsidP="004A5FAF">
      <w:pPr>
        <w:pStyle w:val="ConsPlusTitle"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4A5FAF">
        <w:rPr>
          <w:b w:val="0"/>
          <w:sz w:val="28"/>
          <w:szCs w:val="28"/>
        </w:rPr>
        <w:t>ПОСТАНОВЛЯЮ:</w:t>
      </w:r>
    </w:p>
    <w:p w:rsidR="00F55D28" w:rsidRPr="004A5FAF" w:rsidRDefault="00F55D28" w:rsidP="004A5FAF">
      <w:pPr>
        <w:pStyle w:val="ConsPlusTitle"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EE5CC0" w:rsidRPr="00EE5CC0" w:rsidRDefault="00EE5CC0" w:rsidP="00EE5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CC0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от 07.03.2019 №53-п </w:t>
      </w:r>
    </w:p>
    <w:p w:rsidR="00EE5CC0" w:rsidRPr="00EE5CC0" w:rsidRDefault="00EE5CC0" w:rsidP="00EE5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CC0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C0">
        <w:rPr>
          <w:rFonts w:ascii="Times New Roman" w:hAnsi="Times New Roman"/>
          <w:sz w:val="28"/>
          <w:szCs w:val="28"/>
        </w:rPr>
        <w:t>утверждении плана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C0">
        <w:rPr>
          <w:rFonts w:ascii="Times New Roman" w:hAnsi="Times New Roman"/>
          <w:sz w:val="28"/>
          <w:szCs w:val="28"/>
        </w:rPr>
        <w:t xml:space="preserve">по содействию развитию конкуренции </w:t>
      </w:r>
    </w:p>
    <w:p w:rsidR="00EE5CC0" w:rsidRDefault="00EE5CC0" w:rsidP="00EE5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CC0">
        <w:rPr>
          <w:rFonts w:ascii="Times New Roman" w:hAnsi="Times New Roman"/>
          <w:sz w:val="28"/>
          <w:szCs w:val="28"/>
        </w:rPr>
        <w:t>в Большеулуйском районе»</w:t>
      </w:r>
      <w:r>
        <w:rPr>
          <w:rFonts w:ascii="Times New Roman" w:hAnsi="Times New Roman"/>
          <w:sz w:val="28"/>
          <w:szCs w:val="28"/>
        </w:rPr>
        <w:t>:</w:t>
      </w:r>
    </w:p>
    <w:p w:rsidR="00B165CA" w:rsidRDefault="00B165CA" w:rsidP="00EE5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приложение № 1 к постановлению изложить в новой редакции, согласно приложению к настоящему постановлению.</w:t>
      </w:r>
    </w:p>
    <w:p w:rsidR="00DF5AA6" w:rsidRDefault="00F55D28" w:rsidP="00DF5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A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5AA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</w:t>
      </w:r>
    </w:p>
    <w:p w:rsidR="00F55D28" w:rsidRPr="00DF5AA6" w:rsidRDefault="00F55D28" w:rsidP="00DF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AA6">
        <w:rPr>
          <w:rFonts w:ascii="Times New Roman" w:hAnsi="Times New Roman"/>
          <w:sz w:val="28"/>
          <w:szCs w:val="28"/>
        </w:rPr>
        <w:t xml:space="preserve">отдела по экономическому планированию Администрации </w:t>
      </w:r>
      <w:proofErr w:type="spellStart"/>
      <w:r w:rsidRPr="00DF5AA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DF5AA6">
        <w:rPr>
          <w:rFonts w:ascii="Times New Roman" w:hAnsi="Times New Roman"/>
          <w:sz w:val="28"/>
          <w:szCs w:val="28"/>
        </w:rPr>
        <w:t xml:space="preserve">    района Е.Н. </w:t>
      </w:r>
      <w:proofErr w:type="spellStart"/>
      <w:r w:rsidRPr="00DF5AA6">
        <w:rPr>
          <w:rFonts w:ascii="Times New Roman" w:hAnsi="Times New Roman"/>
          <w:sz w:val="28"/>
          <w:szCs w:val="28"/>
        </w:rPr>
        <w:t>Гомзякову</w:t>
      </w:r>
      <w:proofErr w:type="spellEnd"/>
    </w:p>
    <w:p w:rsidR="005F32FF" w:rsidRPr="00F55D28" w:rsidRDefault="00F55D28" w:rsidP="00DF5A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D28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F32FF" w:rsidRDefault="005F32FF" w:rsidP="00AB5DB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32FF" w:rsidRDefault="005F32FF" w:rsidP="005F3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</w:t>
      </w:r>
      <w:r w:rsidR="00F21C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E91F22" w:rsidRDefault="00E91F22" w:rsidP="005F32FF">
      <w:pPr>
        <w:rPr>
          <w:rFonts w:ascii="Times New Roman" w:hAnsi="Times New Roman"/>
          <w:sz w:val="28"/>
          <w:szCs w:val="28"/>
        </w:rPr>
      </w:pPr>
    </w:p>
    <w:p w:rsidR="00E91F22" w:rsidRDefault="00E91F22" w:rsidP="005F32FF">
      <w:pPr>
        <w:rPr>
          <w:rFonts w:ascii="Times New Roman" w:hAnsi="Times New Roman"/>
          <w:sz w:val="28"/>
          <w:szCs w:val="28"/>
        </w:rPr>
      </w:pPr>
    </w:p>
    <w:p w:rsidR="00E91F22" w:rsidRDefault="00E91F22" w:rsidP="005F32FF">
      <w:pPr>
        <w:rPr>
          <w:rFonts w:ascii="Times New Roman" w:hAnsi="Times New Roman"/>
          <w:sz w:val="28"/>
          <w:szCs w:val="28"/>
        </w:rPr>
      </w:pPr>
    </w:p>
    <w:p w:rsidR="00E91F22" w:rsidRDefault="00E91F22" w:rsidP="005F32FF">
      <w:pPr>
        <w:rPr>
          <w:rFonts w:ascii="Times New Roman" w:hAnsi="Times New Roman"/>
          <w:sz w:val="28"/>
          <w:szCs w:val="28"/>
        </w:rPr>
      </w:pPr>
    </w:p>
    <w:p w:rsidR="00E91F22" w:rsidRPr="003E76A8" w:rsidRDefault="00E91F22" w:rsidP="00E91F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E76A8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E91F22" w:rsidRDefault="00E91F22" w:rsidP="00E91F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E76A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Pr="003E76A8">
        <w:rPr>
          <w:rFonts w:ascii="Times New Roman" w:eastAsia="Calibri" w:hAnsi="Times New Roman"/>
          <w:sz w:val="24"/>
          <w:szCs w:val="24"/>
        </w:rPr>
        <w:t xml:space="preserve">к постановлению администрации </w:t>
      </w:r>
    </w:p>
    <w:p w:rsidR="00E91F22" w:rsidRPr="003E76A8" w:rsidRDefault="00E91F22" w:rsidP="00E91F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Большеулуйского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E76A8">
        <w:rPr>
          <w:rFonts w:ascii="Times New Roman" w:eastAsia="Calibri" w:hAnsi="Times New Roman"/>
          <w:sz w:val="24"/>
          <w:szCs w:val="24"/>
        </w:rPr>
        <w:t>района</w:t>
      </w:r>
    </w:p>
    <w:p w:rsidR="00E91F22" w:rsidRDefault="00E91F22" w:rsidP="00E91F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3E76A8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24"/>
          <w:szCs w:val="24"/>
        </w:rPr>
        <w:t xml:space="preserve">  10.10.2019  № 229-п</w:t>
      </w:r>
    </w:p>
    <w:p w:rsidR="00E91F22" w:rsidRPr="003E76A8" w:rsidRDefault="00E91F22" w:rsidP="00E91F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1F22" w:rsidRDefault="00E91F22" w:rsidP="00E91F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ПЛАН МЕРОПРИЯТИЙ «ДОРОЖНАЯ КАРТА» ПО СОДЕЙСТВИЮ РАЗВИТИЮ КОНКУРЕНЦИИ В БОЛЬШЕУЛУЙСКОМ РАЙОНЕ </w:t>
      </w:r>
    </w:p>
    <w:p w:rsidR="00E91F22" w:rsidRPr="006E1CBA" w:rsidRDefault="00E91F22" w:rsidP="00E91F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2019-2021 ГОДЫ</w:t>
      </w:r>
    </w:p>
    <w:p w:rsidR="00E91F22" w:rsidRDefault="00E91F22" w:rsidP="00E91F2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Общее описание Плана мероприятий «дорожной карты» </w:t>
      </w:r>
      <w:r>
        <w:rPr>
          <w:rFonts w:ascii="Times New Roman" w:eastAsia="Calibri" w:hAnsi="Times New Roman"/>
          <w:b/>
          <w:sz w:val="28"/>
          <w:szCs w:val="28"/>
        </w:rPr>
        <w:br/>
        <w:t>по содействию развитию конкуренции в Большеулуйском районе (далее – дорожная карта)</w:t>
      </w: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Развитие конкуренции в экономике является </w:t>
      </w:r>
      <w:proofErr w:type="spellStart"/>
      <w:r>
        <w:rPr>
          <w:rFonts w:ascii="Times New Roman" w:eastAsia="Calibri" w:hAnsi="Times New Roman"/>
          <w:sz w:val="28"/>
          <w:szCs w:val="28"/>
        </w:rPr>
        <w:t>многоаспектной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>
        <w:rPr>
          <w:rFonts w:ascii="Times New Roman" w:eastAsia="Calibri" w:hAnsi="Times New Roman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>
        <w:rPr>
          <w:rFonts w:ascii="Times New Roman" w:eastAsia="Calibri" w:hAnsi="Times New Roman"/>
          <w:sz w:val="28"/>
          <w:szCs w:val="28"/>
        </w:rPr>
        <w:br/>
        <w:t>и национальной политики.</w:t>
      </w:r>
    </w:p>
    <w:p w:rsidR="00E91F22" w:rsidRDefault="00E91F22" w:rsidP="00E91F2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E91F22" w:rsidRDefault="00E91F22" w:rsidP="00E91F2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дорожной карте определяется перечень ключевых показателей развития конкуренции в Большеулуйском районе и мероприятия по развитию конкуренции, обеспечивающие их достижение к 01.01.2022 года.</w:t>
      </w:r>
    </w:p>
    <w:p w:rsidR="00E91F22" w:rsidRDefault="00E91F22" w:rsidP="00E91F2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63B7">
        <w:rPr>
          <w:rFonts w:ascii="Times New Roman" w:eastAsia="Calibri" w:hAnsi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 (доля присутствия в отраслях (сфера, товарных рынках) экономики частного бизнеса к 01.01.2022):</w:t>
      </w:r>
    </w:p>
    <w:p w:rsidR="00E91F22" w:rsidRDefault="00E91F22" w:rsidP="00E91F2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091" w:type="dxa"/>
        <w:tblInd w:w="118" w:type="dxa"/>
        <w:tblLook w:val="04A0"/>
      </w:tblPr>
      <w:tblGrid>
        <w:gridCol w:w="699"/>
        <w:gridCol w:w="4820"/>
        <w:gridCol w:w="2268"/>
        <w:gridCol w:w="2304"/>
      </w:tblGrid>
      <w:tr w:rsidR="00E91F22" w:rsidRPr="00E34B6C" w:rsidTr="008C3300">
        <w:trPr>
          <w:trHeight w:val="279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Доля присутствия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1F22" w:rsidRPr="00E34B6C" w:rsidTr="008C3300">
        <w:trPr>
          <w:trHeight w:val="169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E91F22" w:rsidRPr="00E34B6C" w:rsidTr="008C330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1F22" w:rsidRPr="00E34B6C" w:rsidTr="008C3300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125CC3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5CC3">
              <w:rPr>
                <w:rFonts w:ascii="Times New Roman" w:hAnsi="Times New Roman"/>
                <w:color w:val="000000"/>
              </w:rPr>
              <w:t xml:space="preserve">Осуществляют ИП и </w:t>
            </w:r>
            <w:r>
              <w:rPr>
                <w:rFonts w:ascii="Times New Roman" w:eastAsia="Calibri" w:hAnsi="Times New Roman"/>
              </w:rPr>
              <w:t>ГПКК «Губернские аптеки»</w:t>
            </w:r>
          </w:p>
        </w:tc>
      </w:tr>
      <w:tr w:rsidR="00E91F22" w:rsidRPr="00E34B6C" w:rsidTr="008C330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ООО</w:t>
            </w:r>
          </w:p>
        </w:tc>
      </w:tr>
      <w:tr w:rsidR="00E91F22" w:rsidRPr="00E34B6C" w:rsidTr="008C330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01.01.2019 региональный оператор</w:t>
            </w:r>
          </w:p>
        </w:tc>
      </w:tr>
      <w:tr w:rsidR="00E91F22" w:rsidRPr="00E34B6C" w:rsidTr="008C330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 и АО</w:t>
            </w:r>
            <w:proofErr w:type="gramEnd"/>
          </w:p>
        </w:tc>
      </w:tr>
      <w:tr w:rsidR="00E91F22" w:rsidRPr="00E34B6C" w:rsidTr="008C330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E91F22" w:rsidRPr="00E34B6C" w:rsidTr="008C330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E91F22" w:rsidRPr="00E34B6C" w:rsidTr="008C330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34B6C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</w:tbl>
    <w:p w:rsidR="00E91F22" w:rsidRDefault="00E91F22" w:rsidP="00E91F22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Pr="008C14DC" w:rsidRDefault="00E91F22" w:rsidP="00E91F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Оценка и общая характеристика состояния конкуренции </w:t>
      </w:r>
      <w:r w:rsidRPr="008C14DC">
        <w:rPr>
          <w:rFonts w:ascii="Times New Roman" w:eastAsia="Calibri" w:hAnsi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</w:rPr>
        <w:t>Большеулуй</w:t>
      </w:r>
      <w:r w:rsidRPr="008C14DC">
        <w:rPr>
          <w:rFonts w:ascii="Times New Roman" w:eastAsia="Calibri" w:hAnsi="Times New Roman"/>
          <w:b/>
          <w:sz w:val="28"/>
          <w:szCs w:val="28"/>
        </w:rPr>
        <w:t>ском районе</w:t>
      </w:r>
    </w:p>
    <w:p w:rsidR="00E91F22" w:rsidRDefault="00E91F22" w:rsidP="00E91F2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Исходная фактическая информация в отношении ситуации и проблематики каждой отрасли (сфере, товарном рынке) экономики 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района.</w:t>
      </w:r>
      <w:r w:rsidRPr="002A68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1F22" w:rsidRDefault="00E91F22" w:rsidP="00E91F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Большеулуйский район расположен к западу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Красноярска. Удаленность районного центра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Красноярска составляет 225 км. Протяжённость: с севера на   юг- 59 км, с запада на восток – 86 км. Граничит на востоке –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районом, на юге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районом, на западе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Тюхтетским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Боготольским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севере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Бирилюсским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районами.</w:t>
      </w:r>
      <w:r w:rsidRPr="002A68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 района занимает площадь в 269,4 тыс. га.</w:t>
      </w:r>
    </w:p>
    <w:p w:rsidR="00E91F22" w:rsidRDefault="00E91F22" w:rsidP="00E9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территории входит 36 населенных пунктов. Населенные пункты объединены в 9 сельсоветов.</w:t>
      </w:r>
    </w:p>
    <w:p w:rsidR="00E91F22" w:rsidRDefault="00E91F22" w:rsidP="00E91F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Самым  крупным  по  количеству  жителей  является  Большеулуйский сельсовет – 38</w:t>
      </w:r>
      <w:r w:rsidRPr="002A68FC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чел., из них в 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ольшой Улуй  проживает 3</w:t>
      </w:r>
      <w:r w:rsidRPr="002A68FC">
        <w:rPr>
          <w:rFonts w:ascii="Times New Roman" w:hAnsi="Times New Roman"/>
          <w:color w:val="000000"/>
          <w:sz w:val="28"/>
          <w:szCs w:val="28"/>
        </w:rPr>
        <w:t>396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чел. (</w:t>
      </w:r>
      <w:r w:rsidRPr="002A68FC">
        <w:rPr>
          <w:rFonts w:ascii="Times New Roman" w:hAnsi="Times New Roman"/>
          <w:color w:val="000000"/>
          <w:sz w:val="28"/>
          <w:szCs w:val="28"/>
        </w:rPr>
        <w:t>44.87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 всего населения района).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населенным пунктам с численностью жителей более 350 человек относятся: 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Еловка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с.Сучково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п.Кытат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В 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основый Бор и с.Березовка проживает  более  250 человек.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Населённых пунктов с численностью жителей до 200 человек – 29,  из них  14 деревень с количеством жителей менее 50 человек. В двух населенных пунктах д. Кузино и д. Михайловка люди не проживают.</w:t>
      </w:r>
    </w:p>
    <w:p w:rsidR="00E91F2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Одной из проблем района являются негативные факторы демографической ситуации: высокий удельный вес граждан нетрудоспособного возраста, высокая смертность населения. Отток молодежи усиливает демографический кризис. Происходит старение кадров, существует проблема в недостатке квалифицированных специалистов (учителя, врачи, работники культуры и др.). </w:t>
      </w:r>
    </w:p>
    <w:p w:rsidR="00E91F2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Кроме указанных проблем 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постоянно стоит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 в </w:t>
      </w:r>
      <w:r w:rsidRPr="00B778E7">
        <w:rPr>
          <w:rFonts w:ascii="Times New Roman CYR" w:hAnsi="Times New Roman CYR" w:cs="Times New Roman CYR"/>
          <w:sz w:val="28"/>
          <w:szCs w:val="28"/>
        </w:rPr>
        <w:t>ограниченных возможност</w:t>
      </w:r>
      <w:r>
        <w:rPr>
          <w:rFonts w:ascii="Times New Roman CYR" w:hAnsi="Times New Roman CYR" w:cs="Times New Roman CYR"/>
          <w:sz w:val="28"/>
          <w:szCs w:val="28"/>
        </w:rPr>
        <w:t>ях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занятости населения по месту постоянного проживания (в </w:t>
      </w: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границах существующих поселений), 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1F2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Сельскохозяйственный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сектор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базируется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частном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хозяйстве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способствует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высоким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темпам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rFonts w:cs="Calibri"/>
          <w:color w:val="000000"/>
          <w:sz w:val="28"/>
          <w:szCs w:val="28"/>
        </w:rPr>
        <w:t>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жизни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низкий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потребительский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спрос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способствуют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высоким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темпам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малого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бизнеса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свою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очередь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cs="Calibri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роста</w:t>
      </w:r>
      <w:r>
        <w:rPr>
          <w:rFonts w:cs="Calibri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налоговой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базы</w:t>
      </w:r>
      <w:r>
        <w:rPr>
          <w:rFonts w:cs="Calibri"/>
          <w:color w:val="000000"/>
          <w:sz w:val="28"/>
          <w:szCs w:val="28"/>
        </w:rPr>
        <w:t>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распоряжения Правительства Российской Федерации от 17.04.2019 № 768-р «Об утверждении </w:t>
      </w:r>
      <w:r w:rsidRPr="0062067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62067F">
        <w:rPr>
          <w:rFonts w:ascii="Times New Roman" w:hAnsi="Times New Roman"/>
          <w:sz w:val="28"/>
          <w:szCs w:val="28"/>
        </w:rPr>
        <w:t xml:space="preserve"> развития конкуренции в субъектах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не смотря на объективные вышеперечисленные 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Pr="0086759C" w:rsidRDefault="00E91F22" w:rsidP="00E91F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6759C">
        <w:rPr>
          <w:rFonts w:ascii="Times New Roman" w:eastAsia="Calibri" w:hAnsi="Times New Roman"/>
          <w:b/>
          <w:sz w:val="28"/>
          <w:szCs w:val="28"/>
          <w:u w:val="single"/>
        </w:rPr>
        <w:t>В сфере здравоохранения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</w:p>
    <w:p w:rsidR="00E91F22" w:rsidRPr="00D12477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2477">
        <w:rPr>
          <w:rFonts w:ascii="Times New Roman" w:eastAsia="Calibri" w:hAnsi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>
        <w:rPr>
          <w:rFonts w:ascii="Times New Roman" w:eastAsia="Calibri" w:hAnsi="Times New Roman"/>
          <w:sz w:val="28"/>
          <w:szCs w:val="28"/>
        </w:rPr>
        <w:t xml:space="preserve">Большеулуйском районе </w:t>
      </w:r>
      <w:r w:rsidRPr="00767129">
        <w:rPr>
          <w:rFonts w:ascii="Times New Roman" w:eastAsia="Calibri" w:hAnsi="Times New Roman"/>
          <w:sz w:val="28"/>
          <w:szCs w:val="28"/>
        </w:rPr>
        <w:t xml:space="preserve">осуществляют аптеки в следующих населенных пунктах: с. Большой Улуй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Pr="00767129">
        <w:rPr>
          <w:rFonts w:ascii="Times New Roman" w:eastAsia="Calibri" w:hAnsi="Times New Roman"/>
          <w:sz w:val="28"/>
          <w:szCs w:val="28"/>
        </w:rPr>
        <w:t>ГПКК «Губернские аптеки»</w:t>
      </w:r>
      <w:r>
        <w:rPr>
          <w:rFonts w:ascii="Times New Roman" w:eastAsia="Calibri" w:hAnsi="Times New Roman"/>
          <w:sz w:val="28"/>
          <w:szCs w:val="28"/>
        </w:rPr>
        <w:t xml:space="preserve"> (аптека №76)</w:t>
      </w:r>
      <w:r w:rsidRPr="0076712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767129">
        <w:rPr>
          <w:rFonts w:ascii="Times New Roman" w:eastAsia="Calibri" w:hAnsi="Times New Roman"/>
          <w:sz w:val="28"/>
          <w:szCs w:val="28"/>
        </w:rPr>
        <w:t>аптека «</w:t>
      </w:r>
      <w:proofErr w:type="spellStart"/>
      <w:r>
        <w:rPr>
          <w:rFonts w:ascii="Times New Roman" w:eastAsia="Calibri" w:hAnsi="Times New Roman"/>
          <w:sz w:val="28"/>
          <w:szCs w:val="28"/>
        </w:rPr>
        <w:t>Аспири</w:t>
      </w:r>
      <w:r w:rsidRPr="00767129">
        <w:rPr>
          <w:rFonts w:ascii="Times New Roman" w:eastAsia="Calibri" w:hAnsi="Times New Roman"/>
          <w:sz w:val="28"/>
          <w:szCs w:val="28"/>
        </w:rPr>
        <w:t>нка</w:t>
      </w:r>
      <w:proofErr w:type="spellEnd"/>
      <w:r w:rsidRPr="0076712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принадлежащая индивидуальному предпринимателю.</w:t>
      </w:r>
      <w:r w:rsidRPr="00767129">
        <w:rPr>
          <w:rFonts w:ascii="Times New Roman" w:eastAsia="Calibri" w:hAnsi="Times New Roman"/>
          <w:sz w:val="28"/>
          <w:szCs w:val="28"/>
        </w:rPr>
        <w:t xml:space="preserve"> </w:t>
      </w:r>
    </w:p>
    <w:p w:rsidR="00E91F22" w:rsidRPr="00D12477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129">
        <w:rPr>
          <w:rFonts w:ascii="Times New Roman" w:eastAsia="Calibri" w:hAnsi="Times New Roman"/>
          <w:sz w:val="28"/>
          <w:szCs w:val="28"/>
        </w:rPr>
        <w:t>Государственный</w:t>
      </w:r>
      <w:r w:rsidRPr="00D12477">
        <w:rPr>
          <w:rFonts w:ascii="Times New Roman" w:eastAsia="Calibri" w:hAnsi="Times New Roman"/>
          <w:sz w:val="28"/>
          <w:szCs w:val="28"/>
        </w:rPr>
        <w:t xml:space="preserve"> сектор представлен в основном структурными подразделениями медицинских</w:t>
      </w:r>
      <w:r>
        <w:rPr>
          <w:rFonts w:ascii="Times New Roman" w:eastAsia="Calibri" w:hAnsi="Times New Roman"/>
          <w:sz w:val="28"/>
          <w:szCs w:val="28"/>
        </w:rPr>
        <w:t xml:space="preserve"> организаций (</w:t>
      </w:r>
      <w:proofErr w:type="spellStart"/>
      <w:r>
        <w:rPr>
          <w:rFonts w:ascii="Times New Roman" w:eastAsia="Calibri" w:hAnsi="Times New Roman"/>
          <w:sz w:val="28"/>
          <w:szCs w:val="28"/>
        </w:rPr>
        <w:t>ФАПы</w:t>
      </w:r>
      <w:proofErr w:type="spellEnd"/>
      <w:r w:rsidRPr="00D12477">
        <w:rPr>
          <w:rFonts w:ascii="Times New Roman" w:eastAsia="Calibri" w:hAnsi="Times New Roman"/>
          <w:sz w:val="28"/>
          <w:szCs w:val="28"/>
        </w:rPr>
        <w:t xml:space="preserve">), наделенных правом розничной торговли лекарственными препаратами в отдаленных и малонаселенных </w:t>
      </w:r>
      <w:r>
        <w:rPr>
          <w:rFonts w:ascii="Times New Roman" w:eastAsia="Calibri" w:hAnsi="Times New Roman"/>
          <w:sz w:val="28"/>
          <w:szCs w:val="28"/>
        </w:rPr>
        <w:t>пунктах</w:t>
      </w:r>
      <w:r w:rsidRPr="00D12477">
        <w:rPr>
          <w:rFonts w:ascii="Times New Roman" w:eastAsia="Calibri" w:hAnsi="Times New Roman"/>
          <w:sz w:val="28"/>
          <w:szCs w:val="28"/>
        </w:rPr>
        <w:t>, где отсутствуют аптечные организации как государственные, так и частные. При этом</w:t>
      </w:r>
      <w:proofErr w:type="gramStart"/>
      <w:r w:rsidRPr="00D12477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D12477">
        <w:rPr>
          <w:rFonts w:ascii="Times New Roman" w:eastAsia="Calibri" w:hAnsi="Times New Roman"/>
          <w:sz w:val="28"/>
          <w:szCs w:val="28"/>
        </w:rPr>
        <w:t xml:space="preserve">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4732">
        <w:rPr>
          <w:rFonts w:ascii="Times New Roman" w:eastAsia="Calibri" w:hAnsi="Times New Roman"/>
          <w:sz w:val="28"/>
          <w:szCs w:val="28"/>
        </w:rPr>
        <w:t xml:space="preserve">Подобный механизм, установленный статьей 52 Федерального закона </w:t>
      </w:r>
      <w:r w:rsidRPr="00DC4732">
        <w:rPr>
          <w:rFonts w:ascii="Times New Roman" w:eastAsia="Calibri" w:hAnsi="Times New Roman"/>
          <w:sz w:val="28"/>
          <w:szCs w:val="28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Pr="00253BE8" w:rsidRDefault="00E91F22" w:rsidP="00E91F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253BE8">
        <w:rPr>
          <w:rFonts w:ascii="Times New Roman" w:eastAsia="Calibri" w:hAnsi="Times New Roman"/>
          <w:b/>
          <w:sz w:val="28"/>
          <w:szCs w:val="28"/>
          <w:u w:val="single"/>
        </w:rPr>
        <w:t>В социальной сфере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Pr="00B778E7" w:rsidRDefault="00E91F22" w:rsidP="00E91F22">
      <w:pPr>
        <w:autoSpaceDE w:val="0"/>
        <w:autoSpaceDN w:val="0"/>
        <w:adjustRightInd w:val="0"/>
        <w:spacing w:before="24" w:after="0" w:line="240" w:lineRule="auto"/>
        <w:ind w:right="3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Сфера социального обеспечения в </w:t>
      </w:r>
      <w:r>
        <w:rPr>
          <w:rFonts w:ascii="Times New Roman CYR" w:hAnsi="Times New Roman CYR" w:cs="Times New Roman CYR"/>
          <w:sz w:val="28"/>
          <w:szCs w:val="28"/>
        </w:rPr>
        <w:t>Большеулуйском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семьи. В трудной жизненной ситуации оказываются и </w:t>
      </w: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Система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представлена отделом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социальной защиты населения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и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муниципальным бюджетным 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 «Центр </w:t>
      </w:r>
      <w:r w:rsidRPr="00B778E7">
        <w:rPr>
          <w:rFonts w:ascii="Times New Roman CYR" w:hAnsi="Times New Roman CYR" w:cs="Times New Roman CYR"/>
          <w:sz w:val="28"/>
          <w:szCs w:val="28"/>
        </w:rPr>
        <w:t>социального обслуживания населения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778AC">
        <w:rPr>
          <w:rFonts w:ascii="Times New Roman CYR" w:hAnsi="Times New Roman CYR" w:cs="Times New Roman CYR"/>
          <w:sz w:val="28"/>
          <w:szCs w:val="28"/>
        </w:rPr>
        <w:t xml:space="preserve">Объем средств, направленных на предоставление социальной поддержки населения по оплате жилья и коммунальных услуг, в 2017 году составил </w:t>
      </w:r>
      <w:r>
        <w:rPr>
          <w:rFonts w:ascii="Times New Roman CYR" w:hAnsi="Times New Roman CYR" w:cs="Times New Roman CYR"/>
          <w:sz w:val="28"/>
          <w:szCs w:val="28"/>
        </w:rPr>
        <w:t>17,9</w:t>
      </w:r>
      <w:r w:rsidRPr="007778AC">
        <w:rPr>
          <w:rFonts w:ascii="Times New Roman CYR" w:hAnsi="Times New Roman CYR" w:cs="Times New Roman CYR"/>
          <w:sz w:val="28"/>
          <w:szCs w:val="28"/>
        </w:rPr>
        <w:t xml:space="preserve"> млн. руб., из них средств, направленных на предоставление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субсидий гражданам в качестве помощи для оплаты жилья и коммунальных услуг с учетом их доходов – 1,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млн. руб. Количество семей, получивших субсидии с учетом доходов на оплату жилья и коммунальных услуг в 2017</w:t>
      </w:r>
      <w:proofErr w:type="gramEnd"/>
      <w:r w:rsidRPr="00B778E7">
        <w:rPr>
          <w:rFonts w:ascii="Times New Roman CYR" w:hAnsi="Times New Roman CYR" w:cs="Times New Roman CYR"/>
          <w:sz w:val="28"/>
          <w:szCs w:val="28"/>
        </w:rPr>
        <w:t xml:space="preserve"> году составило </w:t>
      </w:r>
      <w:r>
        <w:rPr>
          <w:rFonts w:ascii="Times New Roman CYR" w:hAnsi="Times New Roman CYR" w:cs="Times New Roman CYR"/>
          <w:sz w:val="28"/>
          <w:szCs w:val="28"/>
        </w:rPr>
        <w:t>167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ед. Доля семей, получающих жилищные субсидии на оплату жилого помещения и коммунальных услуг, в 2017 году составила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B778E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B778E7">
        <w:rPr>
          <w:rFonts w:ascii="Times New Roman CYR" w:hAnsi="Times New Roman CYR" w:cs="Times New Roman CYR"/>
          <w:sz w:val="28"/>
          <w:szCs w:val="28"/>
        </w:rPr>
        <w:t>4% в общем количестве семей</w:t>
      </w:r>
      <w:r>
        <w:rPr>
          <w:rFonts w:ascii="Times New Roman CYR" w:hAnsi="Times New Roman CYR" w:cs="Times New Roman CYR"/>
          <w:sz w:val="28"/>
          <w:szCs w:val="28"/>
        </w:rPr>
        <w:t xml:space="preserve"> в Красноярском крае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мероприятие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позволяющее пожилым </w:t>
      </w:r>
      <w:r>
        <w:rPr>
          <w:rFonts w:ascii="Times New Roman CYR" w:hAnsi="Times New Roman CYR" w:cs="Times New Roman CYR"/>
          <w:sz w:val="28"/>
          <w:szCs w:val="28"/>
        </w:rPr>
        <w:t xml:space="preserve">людям </w:t>
      </w:r>
      <w:r w:rsidRPr="00B778E7">
        <w:rPr>
          <w:rFonts w:ascii="Times New Roman CYR" w:hAnsi="Times New Roman CYR" w:cs="Times New Roman CYR"/>
          <w:sz w:val="28"/>
          <w:szCs w:val="28"/>
        </w:rPr>
        <w:t>как можно дольше находиться в привычных условиях. Этими вопросами занимается МБУ</w:t>
      </w:r>
      <w:r>
        <w:rPr>
          <w:rFonts w:ascii="Times New Roman CYR" w:hAnsi="Times New Roman CYR" w:cs="Times New Roman CYR"/>
          <w:sz w:val="28"/>
          <w:szCs w:val="28"/>
        </w:rPr>
        <w:t xml:space="preserve"> «Ц</w:t>
      </w:r>
      <w:r w:rsidRPr="00B778E7">
        <w:rPr>
          <w:rFonts w:ascii="Times New Roman CYR" w:hAnsi="Times New Roman CYR" w:cs="Times New Roman CYR"/>
          <w:sz w:val="28"/>
          <w:szCs w:val="28"/>
        </w:rPr>
        <w:t>ентр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Количество </w:t>
      </w:r>
      <w:proofErr w:type="gramStart"/>
      <w:r w:rsidRPr="00B778E7"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получивших социальные услуги в учреждениях нестационарной формы социального обслуживания в 2017 году составило</w:t>
      </w:r>
      <w:proofErr w:type="gramEnd"/>
      <w:r w:rsidRPr="00B778E7">
        <w:rPr>
          <w:rFonts w:ascii="Times New Roman CYR" w:hAnsi="Times New Roman CYR" w:cs="Times New Roman CYR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>738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С целью доступности социальных услуг на дому </w:t>
      </w:r>
      <w:r>
        <w:rPr>
          <w:rFonts w:ascii="Times New Roman CYR" w:hAnsi="Times New Roman CYR" w:cs="Times New Roman CYR"/>
          <w:sz w:val="28"/>
          <w:szCs w:val="28"/>
        </w:rPr>
        <w:t>МБУ «Ц</w:t>
      </w:r>
      <w:r w:rsidRPr="00800D99">
        <w:rPr>
          <w:rFonts w:ascii="Times New Roman CYR" w:hAnsi="Times New Roman CYR" w:cs="Times New Roman CYR"/>
          <w:sz w:val="28"/>
          <w:szCs w:val="28"/>
        </w:rPr>
        <w:t>ентр социального обслуживания н</w:t>
      </w:r>
      <w:r>
        <w:rPr>
          <w:rFonts w:ascii="Times New Roman CYR" w:hAnsi="Times New Roman CYR" w:cs="Times New Roman CYR"/>
          <w:sz w:val="28"/>
          <w:szCs w:val="28"/>
        </w:rPr>
        <w:t>аселения» имеет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своих работников (соцработники) в поселках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E91F22" w:rsidRPr="00253BE8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53BE8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</w:p>
    <w:p w:rsidR="00E91F22" w:rsidRPr="005127CD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u w:val="single"/>
        </w:rPr>
      </w:pPr>
    </w:p>
    <w:p w:rsidR="00E91F22" w:rsidRPr="008463A6" w:rsidRDefault="00E91F22" w:rsidP="00E91F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463A6">
        <w:rPr>
          <w:rFonts w:ascii="Times New Roman" w:eastAsia="Calibri" w:hAnsi="Times New Roman"/>
          <w:b/>
          <w:sz w:val="28"/>
          <w:szCs w:val="28"/>
          <w:u w:val="single"/>
        </w:rPr>
        <w:t>В сфере благоустройства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Pr="008463A6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63A6">
        <w:rPr>
          <w:rFonts w:ascii="Times New Roman" w:eastAsia="Calibri" w:hAnsi="Times New Roman"/>
          <w:sz w:val="28"/>
          <w:szCs w:val="28"/>
        </w:rPr>
        <w:t xml:space="preserve">Мероприятия в сфере благоустройства в </w:t>
      </w:r>
      <w:r>
        <w:rPr>
          <w:rFonts w:ascii="Times New Roman" w:eastAsia="Calibri" w:hAnsi="Times New Roman"/>
          <w:sz w:val="28"/>
          <w:szCs w:val="28"/>
        </w:rPr>
        <w:t>Большеулуйском районе</w:t>
      </w:r>
      <w:r w:rsidRPr="008463A6">
        <w:rPr>
          <w:rFonts w:ascii="Times New Roman" w:eastAsia="Calibri" w:hAnsi="Times New Roman"/>
          <w:sz w:val="28"/>
          <w:szCs w:val="28"/>
        </w:rPr>
        <w:t xml:space="preserve"> осуществляются в соответствии с 44-ФЗ и в пределах бюджетного финансирования, предусмотренного в параметрах бюджета на очередной финансовый год. </w:t>
      </w:r>
    </w:p>
    <w:p w:rsidR="00E91F22" w:rsidRDefault="00E91F22" w:rsidP="00E91F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Pr="00B46017" w:rsidRDefault="00E91F22" w:rsidP="00E91F2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46017">
        <w:rPr>
          <w:rFonts w:ascii="Times New Roman" w:eastAsia="Calibri" w:hAnsi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Pr="00B46017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Default="00E91F22" w:rsidP="00E91F22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3D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Промышленность</w:t>
      </w:r>
    </w:p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Наибольший удельный вес занимает продукция АО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нефтеперерабатывающий завод Восточной нефтяной компании» (в 2017г. - 99,9%),  предприятие является градообразующим для нашего района. </w:t>
      </w:r>
    </w:p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АО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ВНК» является единственным крупным нефтеперерабатывающим предприятием в Красноярском крае, а также играет важную роль на рынке нефтепродуктов прилегающих регионов. Завод был приобретен НК «Роснефть» в мае 2007 г.  Мощность НПЗ составляет 7,5 млн. тонн (54,8 млн.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барр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>) нефти в год. Завод перерабатывает западносибирскую нефть, поставляемую по системе трубопроводов АК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Транснефть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». Вторичные перерабатывающие мощности завода включают установки каталитического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риформинга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,  изомеризации, гидроочистки реактивного и дизельного топлива, 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битумную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 xml:space="preserve">. Завод специализируется на производстве моторного и авиационного топлива.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производи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более 100 наименований нефтепродуктов. Продукция завода реализуется на территории Красноярского края и соседних регионов.    </w:t>
      </w:r>
      <w:r w:rsidRPr="007C43D2">
        <w:rPr>
          <w:rFonts w:ascii="Verdana" w:hAnsi="Verdana" w:cs="Verdana"/>
          <w:color w:val="303030"/>
          <w:sz w:val="21"/>
          <w:szCs w:val="21"/>
          <w:highlight w:val="white"/>
        </w:rPr>
        <w:t xml:space="preserve"> </w:t>
      </w:r>
    </w:p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(Раздел С)  составил: в 201</w:t>
      </w:r>
      <w:r w:rsidRPr="007C43D2">
        <w:rPr>
          <w:rFonts w:ascii="Times New Roman" w:hAnsi="Times New Roman"/>
          <w:color w:val="000000"/>
          <w:sz w:val="28"/>
          <w:szCs w:val="28"/>
        </w:rPr>
        <w:t>7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– </w:t>
      </w:r>
      <w:r w:rsidRPr="007C43D2">
        <w:rPr>
          <w:rFonts w:ascii="Times New Roman" w:hAnsi="Times New Roman"/>
          <w:color w:val="000000"/>
          <w:sz w:val="28"/>
          <w:szCs w:val="28"/>
        </w:rPr>
        <w:t>9028384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C43D2">
        <w:rPr>
          <w:rFonts w:ascii="Times New Roman" w:hAnsi="Times New Roman"/>
          <w:color w:val="000000"/>
          <w:sz w:val="28"/>
          <w:szCs w:val="28"/>
        </w:rPr>
        <w:t xml:space="preserve">80 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тыс. рублей (</w:t>
      </w:r>
      <w:r w:rsidRPr="007C43D2">
        <w:rPr>
          <w:rFonts w:ascii="Times New Roman" w:hAnsi="Times New Roman"/>
          <w:color w:val="000000"/>
          <w:sz w:val="28"/>
          <w:szCs w:val="28"/>
        </w:rPr>
        <w:t>80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C43D2">
        <w:rPr>
          <w:rFonts w:ascii="Times New Roman" w:hAnsi="Times New Roman"/>
          <w:color w:val="000000"/>
          <w:sz w:val="28"/>
          <w:szCs w:val="28"/>
        </w:rPr>
        <w:t>79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%), по оценке 2018 года –  9425633,73 тыс. рублей (104,4%) и по прогнозу: 2019 год - 9086310,92 тыс. рублей  (96,4%), 2020 год – 9531540,16 тыс. рублей (104,9 %), 2021 год – 9312314,74 тыс. руб. (97,7%).</w:t>
      </w:r>
      <w:proofErr w:type="gramEnd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7C43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В 2017 г.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переработал 6279,0 тыс. тонн нефти, что меньше уровня 2016 года на 803 тыс. тонны (88,66%). Снижение показателя связано с проведением длительных ремонтных работ на заводе. По оценке 2018 года первичная переработка нефти составит  6997,3 тыс. тонны, по  прогнозу на 2019 год-  6742,5 тыс. тонн, на 2020 год –  7003,5 тыс. тонн, на 2021 год – 6845,3 тыс. тонны. В 2017 году  провели технический аудит оборудования АСУТП и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КИПиА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на установках АНПЗ ВНК, с целью перевода их на увеличенный до 3-х лет межремонтный пробег.</w:t>
      </w:r>
    </w:p>
    <w:p w:rsidR="00E91F22" w:rsidRPr="007C43D2" w:rsidRDefault="00E91F22" w:rsidP="00E91F2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До 90% объема произведенных нефтепродуктов вывозится по железной дороге. Для удобства работы с покупателями небольших партий товара организована схема налива топлива в автоцистерны.</w:t>
      </w:r>
    </w:p>
    <w:p w:rsidR="00E91F22" w:rsidRPr="007C43D2" w:rsidRDefault="00E91F22" w:rsidP="00E91F22">
      <w:pPr>
        <w:autoSpaceDE w:val="0"/>
        <w:autoSpaceDN w:val="0"/>
        <w:adjustRightInd w:val="0"/>
        <w:spacing w:after="312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На предприятии разработана и внедрена интегрированная система менеджмента (ИСМ) в области качества, экологической и промышленной безопасности, соответствующая международным стандартам ISO 9001:2008, ISO 14001:2004, OH SAS 18001:2007.</w:t>
      </w:r>
    </w:p>
    <w:p w:rsidR="00E91F22" w:rsidRPr="007C43D2" w:rsidRDefault="00E91F22" w:rsidP="00E91F22">
      <w:pPr>
        <w:autoSpaceDE w:val="0"/>
        <w:autoSpaceDN w:val="0"/>
        <w:adjustRightInd w:val="0"/>
        <w:spacing w:after="312" w:line="240" w:lineRule="auto"/>
        <w:ind w:left="120" w:hanging="120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В 2017 году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Ачинским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было переработано 6,279 млн. тонн нефти.   </w:t>
      </w:r>
    </w:p>
    <w:p w:rsidR="00E91F22" w:rsidRPr="007C43D2" w:rsidRDefault="00E91F22" w:rsidP="00E91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Темп роста основных видов промышленной продукции в 2017 году  в % к 2016 году составил:</w:t>
      </w:r>
    </w:p>
    <w:p w:rsidR="00E91F22" w:rsidRPr="007C43D2" w:rsidRDefault="00E91F22" w:rsidP="00E91F22">
      <w:pPr>
        <w:tabs>
          <w:tab w:val="left" w:pos="720"/>
        </w:tabs>
        <w:autoSpaceDE w:val="0"/>
        <w:autoSpaceDN w:val="0"/>
        <w:adjustRightInd w:val="0"/>
        <w:spacing w:after="312" w:line="240" w:lineRule="auto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Бензины  -   85,34% (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1220,8 </w:t>
      </w:r>
      <w:r w:rsidRPr="007C43D2">
        <w:rPr>
          <w:rFonts w:ascii="Times New Roman CYR" w:hAnsi="Times New Roman CYR" w:cs="Times New Roman CYR"/>
          <w:sz w:val="28"/>
          <w:szCs w:val="28"/>
        </w:rPr>
        <w:t>тыс. тонн);                                                                               Дизельное топливо  -   90,17% (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1919,3 тыс.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тонн);                                                                     </w:t>
      </w:r>
      <w:r w:rsidRPr="007C43D2">
        <w:rPr>
          <w:rFonts w:ascii="Times New Roman CYR" w:hAnsi="Times New Roman CYR" w:cs="Times New Roman CYR"/>
          <w:sz w:val="28"/>
          <w:szCs w:val="28"/>
        </w:rPr>
        <w:lastRenderedPageBreak/>
        <w:t>Мазут топочный  -  49,13% (1016,0 тыс. тонн);                                                                        Бензин автомобильный – 88,62% (966,8 тыс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 xml:space="preserve">онн).                                                                                                                                                         </w:t>
      </w:r>
    </w:p>
    <w:p w:rsidR="00E91F22" w:rsidRPr="007C43D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 Производство основных видов промышленной продукции   выглядит следующим образом:</w:t>
      </w:r>
    </w:p>
    <w:tbl>
      <w:tblPr>
        <w:tblW w:w="0" w:type="auto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00"/>
        <w:gridCol w:w="1132"/>
        <w:gridCol w:w="1160"/>
        <w:gridCol w:w="1245"/>
        <w:gridCol w:w="1156"/>
        <w:gridCol w:w="1246"/>
        <w:gridCol w:w="1192"/>
        <w:gridCol w:w="1312"/>
      </w:tblGrid>
      <w:tr w:rsidR="00E91F22" w:rsidRPr="007C43D2" w:rsidTr="008C3300"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Ед</w:t>
            </w:r>
            <w:proofErr w:type="gramStart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зм</w:t>
            </w:r>
            <w:proofErr w:type="spellEnd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2018  оценка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2019 прогноз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2020 прогноз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2021 прогноз</w:t>
            </w:r>
          </w:p>
        </w:tc>
      </w:tr>
      <w:tr w:rsidR="00E91F22" w:rsidRPr="007C43D2" w:rsidTr="008C3300">
        <w:trPr>
          <w:trHeight w:val="9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15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Дизельное топливо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2128,5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1919,3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1968,0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1920,7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2200,0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1920,7</w:t>
            </w:r>
          </w:p>
        </w:tc>
      </w:tr>
      <w:tr w:rsidR="00E91F22" w:rsidRPr="007C43D2" w:rsidTr="008C330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Бензины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1431,5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1220,8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1484,4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1361,3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1672,5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1402,7</w:t>
            </w:r>
          </w:p>
        </w:tc>
      </w:tr>
      <w:tr w:rsidR="00E91F22" w:rsidRPr="007C43D2" w:rsidTr="008C330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Мазут топочный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2068,1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1016,0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1020,0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1018,1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1016,7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1010,9</w:t>
            </w:r>
          </w:p>
        </w:tc>
      </w:tr>
      <w:tr w:rsidR="00E91F22" w:rsidRPr="007C43D2" w:rsidTr="008C330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Бензин автомобильный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    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1090,9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966,8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1157,6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1038,1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1174,4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F22" w:rsidRPr="007C43D2" w:rsidRDefault="00E91F22" w:rsidP="008C330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1158,3</w:t>
            </w:r>
          </w:p>
        </w:tc>
      </w:tr>
    </w:tbl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F22" w:rsidRPr="007C43D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Для увеличения выхода светлых нефтепродуктов и выполнения требований Технического регламента на предприятии  велась  реализация комплексного проекта развития завода. Прое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кт вкл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 xml:space="preserve">ючает в себя строительство комбинированной установки  производства нефтяного кокса мощностью 3 млн. тонн в год по мазуту   и  по комплексу гидрокрекинга    с интегрированной установкой гидроочистки дизельного топлива мощностью 3,65 млн. тонн в год с объектами общезаводского хозяйства (57 объектов). 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Согласно ежегодному бизнес-плану, который направляется головным предприятием НК "Роснефть" на АНПЗ ВНК сроки ввода  объектов перенесены на более длительную перспективу (вплоть до 2020 года).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1F22" w:rsidRPr="004F418F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Жилищно-коммунальное хозяйство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778E7">
        <w:rPr>
          <w:rFonts w:ascii="Times New Roman CYR" w:hAnsi="Times New Roman CYR" w:cs="Times New Roman CYR"/>
          <w:sz w:val="28"/>
          <w:szCs w:val="28"/>
        </w:rPr>
        <w:t xml:space="preserve">Жилищно-коммунальный комплекс района включает в себя жилищный фонд, объекты теплоснабжения, водоснабжения и водоотведения, коммунальную энергетику, благоустройство, оказание бытового обслуживания (бани, прачечные, ритуальные услуги) и т.п. </w:t>
      </w:r>
      <w:proofErr w:type="gramEnd"/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жилищного фонда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в 2017 году составила  230,7 тыс. кв. метров., из которых 61,3 тыс.кв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етров приходится на многоквартирные дома (654 дома) и 168,9 тыс.кв.метров на индивидуально-определенные здания (2593 домов).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 общего состава жилищного фонда  12,4 тыс. кв. метров приходится на муниципальный жилищный фонд, 0,5 тыс.кв. метров на государственный и 217,8 тыс.кв. метров – общая площадь жилищного фонда частной формы собственности.</w:t>
      </w:r>
      <w:proofErr w:type="gramEnd"/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Обеспеченность населения жильём в 2017 году на 1 жителя составила 30,3 кв.м./чел.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Общая площадь жилищного фонда по району, требующая капитального ремонта составляет 5400 кв. метров (13 домов). В 2017 году капитальный ремонт жилого фонда не проводился. Управление 13 многоквартирными домами  собственники помещений выбрали непосредственное управление домами (100%).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Жилищно-коммунальные услуги с 2012 года оказывают 2 организации коммунального комплекса, при этом тепло- и водоснабжением занимается одна многоотраслевая организация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КоммунСтройСервис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электроснабжением занимается 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Красноярскэнергосбыт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сумма доходов от реализации жилищно-коммунальных услуг организаций, оказывающих жилищно-коммунальные услуги в 2017 году составила 34266,6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 Оценка 2018 года – 35979,93 тыс.руб.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сумма доходов от реализации коммунальных услуг населению в 2017 году составила 8475,9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 Оценка 2018 года – 8899,69 тыс.руб.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реализации холодной воды всего по району составляет 202,77 тыс. куб.м., из них  жилищно-коммунальными организациями  в 2017 году составил 85,41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уб.м., из них населению 67,74 тыс.куб.м. В будущем планируется увеличение объема отпуска холодной воды в связи с увеличением количества потребителей.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Горячая вода не используется, т.к. она является технической, т.е. не пригодной для нужд населения.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Обеспечение тепловой энергией объектов бюджетной сферы и населения, производят 13 котельных. Из них 12 - малые котельные, отапливающие объекты социальной сферы и административные здания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ольшой Улуй, остальное население использует печное  и электрическое отопление.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сновными задачами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 w:rsidRPr="00B778E7">
        <w:rPr>
          <w:rFonts w:ascii="Times New Roman CYR" w:hAnsi="Times New Roman CYR" w:cs="Times New Roman CYR"/>
          <w:sz w:val="28"/>
          <w:szCs w:val="28"/>
        </w:rPr>
        <w:t xml:space="preserve"> района в сфере ЖКХ, которые необходимо решить в процессе дальнейшего развития, являются: повышение надежности энергоснабжения (электроэнергией и теплом); повышение качества предоставляемых услуг; снижение текущих затрат при производстве и передаче тепловой и электрической энергии. Для решения эт</w:t>
      </w:r>
      <w:r>
        <w:rPr>
          <w:rFonts w:ascii="Times New Roman CYR" w:hAnsi="Times New Roman CYR" w:cs="Times New Roman CYR"/>
          <w:sz w:val="28"/>
          <w:szCs w:val="28"/>
        </w:rPr>
        <w:t>их задач в районе действует муниципальная программа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B778E7">
        <w:rPr>
          <w:rFonts w:ascii="Times New Roman CYR" w:hAnsi="Times New Roman CYR" w:cs="Times New Roman CYR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</w:p>
    <w:p w:rsidR="00E91F22" w:rsidRPr="00B74994" w:rsidRDefault="00E91F22" w:rsidP="00E91F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В сфере транспорта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 играет важнейшую роль в экономике любого региона и в последние годы в целом удовлетворяет спрос населения и экономики в перевозках пассажиров и грузов.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Одной из основных проблем автотранспортного комплекса в Большеулуйском районе является убыточность перевозок пассажиров по ряду объективных причин: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снижение численности населения в сельской местности;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активная автомобилизация населения;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объемов услуг легкового такси.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2017 году протяженность автомобильных дорог составила  421,00 км. Основная магистральная автомобильная дорога в районе представлена ответвлением от федеральной дороги М-53 «Байкал» Ачинск - Бирилюссы. На дорогах имеется 11 железобетонных мостов, общей длиной 544,7 м. </w:t>
      </w:r>
      <w:r>
        <w:rPr>
          <w:rFonts w:ascii="Times New Roman CYR" w:hAnsi="Times New Roman CYR" w:cs="Times New Roman CYR"/>
          <w:sz w:val="28"/>
          <w:szCs w:val="28"/>
        </w:rPr>
        <w:t xml:space="preserve">Протяженность улично-дорожной сети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составляет 139,20 км, в том числе с  твердым покрытием 92,60</w:t>
      </w:r>
      <w:r w:rsidRPr="00B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км.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– 66,5 %.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увеличения транспортно-эксплуатационных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поселений. 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201</w:t>
      </w:r>
      <w:r w:rsidRPr="00B214F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за счет средств местного бюджета в размере </w:t>
      </w:r>
      <w:r w:rsidRPr="00B214F8">
        <w:rPr>
          <w:rFonts w:ascii="Times New Roman" w:hAnsi="Times New Roman"/>
          <w:color w:val="000000"/>
          <w:sz w:val="28"/>
          <w:szCs w:val="28"/>
        </w:rPr>
        <w:t xml:space="preserve">400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руб. в 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ольшой Улуй  проводился  ямочный ремонт дорожного покрытия.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9 населенных пунктов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Бычковский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Удачинский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сельские Советы) не имеют постоянного прямого сообщения с райцентром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весеннее-осенний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период из-за отсутствия постоянного моста через р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улым. В летнее время движение осуществляется по понтонному мосту длиной 183 м, грузоподъемностью 60 тонн, зимой действует ледовая переправа.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выполненных услуг по виду деятельности "Транспортировка и хранение" в 2017 году составил </w:t>
      </w:r>
      <w:r w:rsidRPr="00B214F8">
        <w:rPr>
          <w:rFonts w:ascii="Times New Roman" w:hAnsi="Times New Roman"/>
          <w:color w:val="000000"/>
          <w:sz w:val="28"/>
          <w:szCs w:val="28"/>
        </w:rPr>
        <w:t>16620929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  <w:r w:rsidRPr="00B214F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темп роста объема услуг к 2016 году 126,32%).  Основной удельный вес объема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услуг транспорта, оказанных всем категориям пользователей осуществляется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виду деятельности "Складское хозяйство и вспомогательная транспортная деятельность", и составляет 99,9% от общего объема. Данный вид деятельности представляют: филиал АО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РН-Транс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", осуществляющий деятельность вспомогательную прочую, связанную с перевозками, и Большеулуйский филиал ГП КК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ДРСУ" осуществляющий деятельность по эксплуатации автомобильных дорог и автомагистралей.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деятельность по перевозкам пассажиров автомобильным транспортом в районе осуществляет МУП «Сигнал».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Маршрутная сеть пассажирского автомобильного транспорта в 201</w:t>
      </w:r>
      <w:r w:rsidRPr="00B214F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представлена 12 маршрутами, из них количество автобусных маршрутов в городском и пригородном сообщении 12. Протяженность автобусных маршрутов составляет 507,5   км.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</w:t>
      </w:r>
      <w:r w:rsidRPr="00B214F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перевезено  пассажиров автомобильным транспортом </w:t>
      </w:r>
      <w:r w:rsidRPr="00B214F8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B214F8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тыс. человек, что на </w:t>
      </w:r>
      <w:r w:rsidRPr="00B214F8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B214F8">
        <w:rPr>
          <w:rFonts w:ascii="Times New Roman" w:hAnsi="Times New Roman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тыс. человек больше уровня 2016 года. </w:t>
      </w:r>
    </w:p>
    <w:p w:rsidR="00E91F22" w:rsidRPr="00B214F8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Пассажирооборот в 2017 году  увеличился по отношению к 2016 году на  76,37% и составил 5,15 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асс. км (в 2016 году составлял  2,92 млн.пасс. км).   Население, проживающее в населенных пунктах,   имеет регулярное автобусное сообщение с административным центром муниципального района.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 целью развития транспортного комплекса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Большеулуйского</w:t>
      </w:r>
      <w:proofErr w:type="spellEnd"/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программой «Развитие транспортной системы» предусмотрен ряд мероприятий, осуществление которых планируется в краткосрочной перспективе.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>Указанные мероприятия включают в себя выполне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следующих работ:</w:t>
      </w:r>
    </w:p>
    <w:p w:rsidR="00E91F22" w:rsidRPr="00195C44" w:rsidRDefault="00E91F22" w:rsidP="00E91F22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95C44">
        <w:rPr>
          <w:rFonts w:ascii="Times New Roman" w:eastAsia="Calibri" w:hAnsi="Times New Roman"/>
          <w:sz w:val="28"/>
          <w:szCs w:val="28"/>
        </w:rPr>
        <w:t>обеспечение сохранности автомобильных дорог общего пользования местного значения;</w:t>
      </w:r>
    </w:p>
    <w:p w:rsidR="00E91F22" w:rsidRPr="00195C44" w:rsidRDefault="00E91F22" w:rsidP="00E91F22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95C44">
        <w:rPr>
          <w:rFonts w:ascii="Times New Roman" w:eastAsia="Calibri" w:hAnsi="Times New Roman"/>
          <w:sz w:val="28"/>
          <w:szCs w:val="28"/>
        </w:rPr>
        <w:t xml:space="preserve">развитие транспорта </w:t>
      </w:r>
      <w:proofErr w:type="spellStart"/>
      <w:r w:rsidRPr="00195C44">
        <w:rPr>
          <w:rFonts w:ascii="Times New Roman" w:eastAsia="Calibri" w:hAnsi="Times New Roman"/>
          <w:sz w:val="28"/>
          <w:szCs w:val="28"/>
        </w:rPr>
        <w:t>Большеулуйского</w:t>
      </w:r>
      <w:proofErr w:type="spellEnd"/>
      <w:r w:rsidRPr="00195C44">
        <w:rPr>
          <w:rFonts w:ascii="Times New Roman" w:eastAsia="Calibri" w:hAnsi="Times New Roman"/>
          <w:sz w:val="28"/>
          <w:szCs w:val="28"/>
        </w:rPr>
        <w:t xml:space="preserve"> района для полного и эффективного удовлетворения потребностей населения района в транспортных услугах;</w:t>
      </w:r>
    </w:p>
    <w:p w:rsidR="00E91F22" w:rsidRPr="00195C44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C44">
        <w:rPr>
          <w:rFonts w:ascii="Times New Roman" w:eastAsia="Calibri" w:hAnsi="Times New Roman"/>
          <w:sz w:val="28"/>
          <w:szCs w:val="28"/>
        </w:rPr>
        <w:t>обеспечение дорожной безопасности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91F22" w:rsidRPr="00B778E7" w:rsidRDefault="00E91F22" w:rsidP="00E91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46A2">
        <w:rPr>
          <w:rFonts w:ascii="Times New Roman" w:eastAsia="Calibri" w:hAnsi="Times New Roman"/>
          <w:sz w:val="28"/>
          <w:szCs w:val="28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</w:t>
      </w:r>
      <w:r>
        <w:rPr>
          <w:rFonts w:ascii="Times New Roman" w:eastAsia="Calibri" w:hAnsi="Times New Roman"/>
          <w:sz w:val="28"/>
          <w:szCs w:val="28"/>
        </w:rPr>
        <w:t xml:space="preserve"> автомобильный </w:t>
      </w:r>
      <w:r w:rsidRPr="00A346A2">
        <w:rPr>
          <w:rFonts w:ascii="Times New Roman" w:eastAsia="Calibri" w:hAnsi="Times New Roman"/>
          <w:sz w:val="28"/>
          <w:szCs w:val="28"/>
        </w:rPr>
        <w:t>тра</w:t>
      </w:r>
      <w:r>
        <w:rPr>
          <w:rFonts w:ascii="Times New Roman" w:eastAsia="Calibri" w:hAnsi="Times New Roman"/>
          <w:sz w:val="28"/>
          <w:szCs w:val="28"/>
        </w:rPr>
        <w:t>н</w:t>
      </w:r>
      <w:r w:rsidRPr="00A346A2">
        <w:rPr>
          <w:rFonts w:ascii="Times New Roman" w:eastAsia="Calibri" w:hAnsi="Times New Roman"/>
          <w:sz w:val="28"/>
          <w:szCs w:val="28"/>
        </w:rPr>
        <w:t>спорт</w:t>
      </w:r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E91F22" w:rsidRPr="00B74994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E91F22" w:rsidRPr="000E6FBD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E6FBD">
        <w:rPr>
          <w:rFonts w:ascii="Times New Roman" w:eastAsia="Calibri" w:hAnsi="Times New Roman"/>
          <w:b/>
          <w:sz w:val="28"/>
          <w:szCs w:val="28"/>
          <w:u w:val="single"/>
        </w:rPr>
        <w:t>В сфере экологии и рационального природопользования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Проблемы экологии связаны с расположением на территории района  крупного промышленного предприятия АО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  и пограничным расположением территории к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чинску.         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доля  всех выбросов   происходит от деятельности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ВНК». За 2017 год объём  загрязняющих веществ, отходящих от  стационарных источников загрязнения  атмосферного воздуха,  составил  15355,19 тонн.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Снижение объёмов  загрязняющих веществ, отходящих от  стационарных источников загрязнения  атмосферного воздуха в 2017 году   на   18,53% или  3493,28 тонны от уровня 2016 года, произошло благодаря работе установок завода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АО «АНПЗ ВНК» в нормальном технологическом режиме после устранения последствий аварийной ситуации 2014 года, а также с проведением ремонтных работ в 2017 году.</w:t>
      </w:r>
      <w:proofErr w:type="gramEnd"/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объем загрязняющих веществ, отходящих от  стационарных источников загрязнения  атмосферного воздуха, уловленных и обезвреженных, составил  332,35 тонн, снизился по отношению к 2016 году на 1463,15 тонн. Их удельный вес в общем объеме загрязняющих веществ, отходящих от стационарных источников загрязнения атмосферного воздуха, составил  9,5 %, в сравнении с 2016 годом уменьшился на 7,3%.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Объём  выбросов в атмосферу загрязняющих веществ передвижными  источниками загрязнения составил  в 2017 году – 1355 тонн, оценка 2018 г. и прогноз на 2019-2021 годы планируется на уровне 2017 года.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Объем водопотребления из природных источников составил  в   2017г.   3350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темп роста к предыдущему году – 112,79%. Основной объем водопотребления, а также  использования воды, забранной из природных источников, в том числе используемой  на производственные нужды,  приходится на 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НПЗ ВНК». Увеличение водопотребления из природных источников по сравнению с 2016 годом произошло в связи с проведением капитального ремонта основных технологических установок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(гидравлические испытания оборудования). Объем  водопотребления (забрано воды) из подземных источников составил 750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снижение к  предыдущему году произошло на 70 тыс.м3 (-8,5 %).  В 2017г. на производственные нужды было использовано 2640 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 по оценке 2018г. планируется снижение к уровню 2016 года (2210 тыс.м3).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заводе находятся уникальные технологические позиции. К ним, в частности, относится схема водоснабжения и водоотведения. На повторные технические нужды идут не только очищенные сточные воды, но и ливневые и талые воды с промышленных площадок.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Оборотное и повторно-последовательное  использование воды осуществляется только 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НПЗ ВНК». Его объем составил в 2017 году - 42530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 снижение показателя к 2016 году на 10,65 % произошло в связи с уменьшением сезонных осадков в пруд ливневых и талых вод используемых для пополнения оборотного водоснабжения, по оценке 2018г. и прогнозу на 2019-2021 годы планируется увеличение показателя до 45065 тыс.м3 (в зависимости от объема сезонных осадков).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нормативно - очищенных  сточных вод  в 2017 году составляет  840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уб.м.  Суммарная мощность очистных сооружений, используемых для очистки сточных вод составляет 12,33 тыс.куб.м/сутки. 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Объём образующихся отходов производства и потребления  за 2017 год по району составил  12174,12 тонн. Основная доля всех отходов образуется от деятельности 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ВНК».   В связи с проведением капитального ремонта основных технологических установок, объем образующихся отходов в 2017 году увеличился к уровню 2016 года в 2,5 раза (с 4469,99 тонн в 2016 году).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организаций по обезвреживанию отходов одно, в 2017 году на нем обезврежено 182,34 тонн, в основном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- отходы III и IV класса опасности для окружающей природной среды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(182,10  и 0,24 тонн соответственно).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отходов, переданных для обезвреживания в 2017 году составили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317,64 тонн.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на территории района 5  (в том числе 1 полигон для складирования отходов производства и потребления). В 2017 году вывезено 10,7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3 твердых коммунальных отходов.  </w:t>
      </w:r>
    </w:p>
    <w:p w:rsidR="00E91F22" w:rsidRPr="00343590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34359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 Федеральным законом от 29.12.2014 № 458-ФЗ </w:t>
      </w:r>
      <w:r w:rsidRPr="00343590">
        <w:rPr>
          <w:rFonts w:ascii="Times New Roman" w:eastAsia="Calibri" w:hAnsi="Times New Roman"/>
          <w:color w:val="000000" w:themeColor="text1"/>
          <w:sz w:val="28"/>
          <w:szCs w:val="28"/>
        </w:rPr>
        <w:br/>
        <w:t>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РФ» с 2019 года сбор, транспортирование, обработка, утилизация, обезвреживание, захоронение твердых коммунальных отходов будет осуществляться в соответствии с территориальной схемой обращения с отходами.</w:t>
      </w:r>
      <w:proofErr w:type="gramEnd"/>
    </w:p>
    <w:p w:rsidR="00E91F22" w:rsidRDefault="00E91F22" w:rsidP="00E91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4359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Управление ТКО в рамках технологической зоны будет осуществляться одним региональным оператором. </w:t>
      </w:r>
    </w:p>
    <w:p w:rsidR="00E91F22" w:rsidRPr="00343590" w:rsidRDefault="00E91F22" w:rsidP="00E91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В сфере обработки древесины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Pr="00CB3F4B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растительности основная часть района расположена в зоне тайги и небольшая южная часть в лесостепной зоне. По данным КГБУ 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Большеулуйское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лесничество» площадь земель лесного фонда занимает 35% площади района и составляет 95,5 тыс</w:t>
      </w:r>
      <w:proofErr w:type="gramStart"/>
      <w:r>
        <w:rPr>
          <w:rFonts w:ascii="Times New Roman" w:eastAsia="Calibri" w:hAnsi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а (из них защитные леса – 21,49 тыс.га, эксплуатационные леса – 74,04 тыс.га), всего лесные площади в административных границах – 163,3 тыс.га (сюда включены земли лесного фонда, земли запаса, земли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за 2017 год – 1692 тыс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уб. Фактический объем рубок главного пользования в пределах лесничества, расположенного на территории муниципального образования за 2017 год составил 53,67 тыс.м3.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Крупные лесозаготовители на территории 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отсутствуют. Заготовкой древесины в районе занимаются субъекты малого предпринимательства, а также местное население, которое заготавливает древесину для собственных нужд (твердое топливо для печного отопления).</w:t>
      </w:r>
    </w:p>
    <w:p w:rsidR="00E91F22" w:rsidRPr="00CB3F4B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E91F22" w:rsidRPr="00AD1B05" w:rsidRDefault="00E91F22" w:rsidP="00E91F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D1B05">
        <w:rPr>
          <w:rFonts w:ascii="Times New Roman" w:eastAsia="Calibri" w:hAnsi="Times New Roman"/>
          <w:b/>
          <w:sz w:val="28"/>
          <w:szCs w:val="28"/>
          <w:u w:val="single"/>
        </w:rPr>
        <w:t>В сфере культуры</w:t>
      </w:r>
    </w:p>
    <w:p w:rsidR="00E91F22" w:rsidRPr="0065600D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района 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сотоянию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01.01.2018 года действуют 39 муниципальных учреждения культуры, из них:  24   учреждения клубного типа, 14 библиотек,  1 детская школа искусств. 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библиотеками в 2017 году составил 82,4%. Уровень фактической обеспеченности учреждениями клубного типа в 2017 году составил 100%. Число учащихся МБОУ ДОД «Детская школа искусств» в 2017 году  - 158 человек.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 xml:space="preserve">Негосударственный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C1714">
        <w:rPr>
          <w:rFonts w:ascii="Times New Roman" w:hAnsi="Times New Roman"/>
          <w:sz w:val="28"/>
          <w:szCs w:val="28"/>
        </w:rPr>
        <w:t xml:space="preserve">ектор на рынке услуг в сфере культуры в </w:t>
      </w:r>
      <w:r>
        <w:rPr>
          <w:rFonts w:ascii="Times New Roman" w:hAnsi="Times New Roman"/>
          <w:sz w:val="28"/>
          <w:szCs w:val="28"/>
        </w:rPr>
        <w:t>Большеулуйском</w:t>
      </w:r>
      <w:r w:rsidRPr="00DC1714">
        <w:rPr>
          <w:rFonts w:ascii="Times New Roman" w:hAnsi="Times New Roman"/>
          <w:sz w:val="28"/>
          <w:szCs w:val="28"/>
        </w:rPr>
        <w:t xml:space="preserve"> районе не представлен.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подобных видов услуг требуется муниципальное субсидирование.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 xml:space="preserve">Таким образом, на рынке культурных услуг основными поставщиками являются муниципальные учреждения. В сельских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DC1714">
        <w:rPr>
          <w:rFonts w:ascii="Times New Roman" w:hAnsi="Times New Roman"/>
          <w:sz w:val="28"/>
          <w:szCs w:val="28"/>
        </w:rPr>
        <w:t xml:space="preserve"> района для создания коммерческих организаций отсутствуют </w:t>
      </w:r>
      <w:r w:rsidRPr="00DC1714">
        <w:rPr>
          <w:rFonts w:ascii="Times New Roman" w:hAnsi="Times New Roman"/>
          <w:sz w:val="28"/>
          <w:szCs w:val="28"/>
        </w:rPr>
        <w:lastRenderedPageBreak/>
        <w:t>необходимые ресурсы – 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E91F22" w:rsidRPr="00B52EB2" w:rsidRDefault="00E91F22" w:rsidP="00E91F22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52EB2">
        <w:rPr>
          <w:rFonts w:ascii="Times New Roman" w:eastAsia="Calibri" w:hAnsi="Times New Roman"/>
          <w:b/>
          <w:sz w:val="28"/>
          <w:szCs w:val="28"/>
        </w:rPr>
        <w:t xml:space="preserve">Доля хозяйствующих субъектов частной формы собственности </w:t>
      </w:r>
      <w:r w:rsidRPr="00B52EB2">
        <w:rPr>
          <w:rFonts w:ascii="Times New Roman" w:eastAsia="Calibri" w:hAnsi="Times New Roman"/>
          <w:b/>
          <w:sz w:val="28"/>
          <w:szCs w:val="28"/>
        </w:rPr>
        <w:br/>
        <w:t>в соответствующей отрасли (сфере, товарном рынке).</w:t>
      </w: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55" w:type="dxa"/>
        <w:tblInd w:w="118" w:type="dxa"/>
        <w:tblLayout w:type="fixed"/>
        <w:tblLook w:val="04A0"/>
      </w:tblPr>
      <w:tblGrid>
        <w:gridCol w:w="456"/>
        <w:gridCol w:w="7614"/>
        <w:gridCol w:w="1985"/>
      </w:tblGrid>
      <w:tr w:rsidR="00E91F22" w:rsidRPr="00EF5BCF" w:rsidTr="008C3300">
        <w:trPr>
          <w:trHeight w:val="8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Исходная фактическая информация (в том числе числовая), по состоянию на 01.01.2018 </w:t>
            </w:r>
          </w:p>
        </w:tc>
      </w:tr>
      <w:tr w:rsidR="00E91F22" w:rsidRPr="00EF5BCF" w:rsidTr="008C3300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1F22" w:rsidRPr="00EF5BCF" w:rsidTr="008C3300">
        <w:trPr>
          <w:trHeight w:val="5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91F22" w:rsidRPr="00EF5BCF" w:rsidTr="008C3300">
        <w:trPr>
          <w:trHeight w:val="3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91F22" w:rsidRPr="00EF5BCF" w:rsidTr="008C3300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EF5BCF" w:rsidTr="008C3300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91F22" w:rsidRPr="00EF5BCF" w:rsidTr="008C3300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EF5BCF" w:rsidTr="008C3300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EF5BCF" w:rsidTr="008C3300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EF5BCF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2477">
        <w:rPr>
          <w:rFonts w:ascii="Times New Roman" w:eastAsia="Calibri" w:hAnsi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>
        <w:rPr>
          <w:rFonts w:ascii="Times New Roman" w:eastAsia="Calibri" w:hAnsi="Times New Roman"/>
          <w:sz w:val="28"/>
          <w:szCs w:val="28"/>
        </w:rPr>
        <w:t xml:space="preserve">Большеулуйском районе </w:t>
      </w:r>
      <w:r w:rsidRPr="00767129">
        <w:rPr>
          <w:rFonts w:ascii="Times New Roman" w:eastAsia="Calibri" w:hAnsi="Times New Roman"/>
          <w:sz w:val="28"/>
          <w:szCs w:val="28"/>
        </w:rPr>
        <w:t xml:space="preserve">осуществляют аптеки в следующих населенных пунктах: с. Большой Улуй </w:t>
      </w:r>
      <w:r>
        <w:rPr>
          <w:rFonts w:ascii="Times New Roman" w:eastAsia="Calibri" w:hAnsi="Times New Roman"/>
          <w:sz w:val="28"/>
          <w:szCs w:val="28"/>
        </w:rPr>
        <w:t xml:space="preserve">– аптека №76, принадлежащая </w:t>
      </w:r>
      <w:r w:rsidRPr="00767129">
        <w:rPr>
          <w:rFonts w:ascii="Times New Roman" w:eastAsia="Calibri" w:hAnsi="Times New Roman"/>
          <w:sz w:val="28"/>
          <w:szCs w:val="28"/>
        </w:rPr>
        <w:t>ГПКК «Губернские аптеки»,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767129">
        <w:rPr>
          <w:rFonts w:ascii="Times New Roman" w:eastAsia="Calibri" w:hAnsi="Times New Roman"/>
          <w:sz w:val="28"/>
          <w:szCs w:val="28"/>
        </w:rPr>
        <w:t>аптека «</w:t>
      </w:r>
      <w:proofErr w:type="spellStart"/>
      <w:r>
        <w:rPr>
          <w:rFonts w:ascii="Times New Roman" w:eastAsia="Calibri" w:hAnsi="Times New Roman"/>
          <w:sz w:val="28"/>
          <w:szCs w:val="28"/>
        </w:rPr>
        <w:t>Аспиринка</w:t>
      </w:r>
      <w:proofErr w:type="spellEnd"/>
      <w:r w:rsidRPr="0076712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, принадлежащая индивидуальному предпринимателю.</w:t>
      </w:r>
      <w:r w:rsidRPr="00767129">
        <w:rPr>
          <w:rFonts w:ascii="Times New Roman" w:eastAsia="Calibri" w:hAnsi="Times New Roman"/>
          <w:sz w:val="28"/>
          <w:szCs w:val="28"/>
        </w:rPr>
        <w:t xml:space="preserve"> 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129">
        <w:rPr>
          <w:rFonts w:ascii="Times New Roman" w:eastAsia="Calibri" w:hAnsi="Times New Roman"/>
          <w:sz w:val="28"/>
          <w:szCs w:val="28"/>
        </w:rPr>
        <w:t>Государственный</w:t>
      </w:r>
      <w:r w:rsidRPr="00D12477">
        <w:rPr>
          <w:rFonts w:ascii="Times New Roman" w:eastAsia="Calibri" w:hAnsi="Times New Roman"/>
          <w:sz w:val="28"/>
          <w:szCs w:val="28"/>
        </w:rPr>
        <w:t xml:space="preserve"> сектор представлен в основном структурными подразделениями медицинских</w:t>
      </w:r>
      <w:r>
        <w:rPr>
          <w:rFonts w:ascii="Times New Roman" w:eastAsia="Calibri" w:hAnsi="Times New Roman"/>
          <w:sz w:val="28"/>
          <w:szCs w:val="28"/>
        </w:rPr>
        <w:t xml:space="preserve"> организаций (</w:t>
      </w:r>
      <w:proofErr w:type="spellStart"/>
      <w:r>
        <w:rPr>
          <w:rFonts w:ascii="Times New Roman" w:eastAsia="Calibri" w:hAnsi="Times New Roman"/>
          <w:sz w:val="28"/>
          <w:szCs w:val="28"/>
        </w:rPr>
        <w:t>ФАПы</w:t>
      </w:r>
      <w:proofErr w:type="spellEnd"/>
      <w:r w:rsidRPr="00D12477">
        <w:rPr>
          <w:rFonts w:ascii="Times New Roman" w:eastAsia="Calibri" w:hAnsi="Times New Roman"/>
          <w:sz w:val="28"/>
          <w:szCs w:val="28"/>
        </w:rPr>
        <w:t xml:space="preserve">), наделенных правом розничной торговли лекарственными препаратами в отдаленных и малонаселенных </w:t>
      </w:r>
      <w:r>
        <w:rPr>
          <w:rFonts w:ascii="Times New Roman" w:eastAsia="Calibri" w:hAnsi="Times New Roman"/>
          <w:sz w:val="28"/>
          <w:szCs w:val="28"/>
        </w:rPr>
        <w:t>пунктах</w:t>
      </w:r>
      <w:r w:rsidRPr="00D12477">
        <w:rPr>
          <w:rFonts w:ascii="Times New Roman" w:eastAsia="Calibri" w:hAnsi="Times New Roman"/>
          <w:sz w:val="28"/>
          <w:szCs w:val="28"/>
        </w:rPr>
        <w:t>, где отсутствуют аптечные организации как государственные, так и частные.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Социальные услуги инвалидам и престарелым гражданам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Большеулуйском районе отсутствуют субъекты малого </w:t>
      </w:r>
      <w:r>
        <w:rPr>
          <w:rFonts w:ascii="Times New Roman" w:hAnsi="Times New Roman"/>
          <w:color w:val="000000"/>
          <w:sz w:val="28"/>
          <w:szCs w:val="28"/>
        </w:rPr>
        <w:br/>
        <w:t>и среднего предпринимательства, оказывающие социальные услуги инвалидам и престарелым гражданам.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Дошкольное образование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Большеулуйском районе отсутствуют субъекты малого </w:t>
      </w:r>
      <w:r>
        <w:rPr>
          <w:rFonts w:ascii="Times New Roman" w:hAnsi="Times New Roman"/>
          <w:color w:val="000000"/>
          <w:sz w:val="28"/>
          <w:szCs w:val="28"/>
        </w:rPr>
        <w:br/>
        <w:t>и среднего предпринимательства, оказывающие образовательные услуги в сфере дошкольного образования (включая ИП).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Общее образование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Большеулуйском районе отсутствуют субъекты малого </w:t>
      </w:r>
      <w:r>
        <w:rPr>
          <w:rFonts w:ascii="Times New Roman" w:hAnsi="Times New Roman"/>
          <w:color w:val="000000"/>
          <w:sz w:val="28"/>
          <w:szCs w:val="28"/>
        </w:rPr>
        <w:br/>
        <w:t>и среднего предпринимательства, оказывающие образовательные услуги в сфере общего образования.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Дополнительное образование детей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Большеулуйском районе отсутствуют субъекты малого </w:t>
      </w:r>
      <w:r>
        <w:rPr>
          <w:rFonts w:ascii="Times New Roman" w:hAnsi="Times New Roman"/>
          <w:color w:val="000000"/>
          <w:sz w:val="28"/>
          <w:szCs w:val="28"/>
        </w:rPr>
        <w:br/>
        <w:t>и среднего предпринимательства, оказывающие услуги по дополнительному образованию.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1F22" w:rsidRPr="009D6333" w:rsidRDefault="00E91F22" w:rsidP="00E91F2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9D6333">
        <w:rPr>
          <w:rFonts w:ascii="Times New Roman" w:eastAsia="Calibri" w:hAnsi="Times New Roman"/>
          <w:i/>
          <w:sz w:val="28"/>
          <w:szCs w:val="28"/>
        </w:rPr>
        <w:t>Дорожное строительство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Определение подрядных организаций на выполнение всего комплекса дорожных работ, в том числе строительство, осуществляется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Данная контрактная система направлена на создание паритетных условий для обеспечения конкуренции между участниками закупок. Любое заинтересованное лицо имеет возможность в соответствии с законодательством стать поставщиком (подрядчиком, исполнителем). </w:t>
      </w:r>
    </w:p>
    <w:p w:rsidR="00E91F22" w:rsidRDefault="00E91F22" w:rsidP="00E91F22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E91F22" w:rsidRDefault="00E91F22" w:rsidP="00E91F22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Архитектурно-строительное проектирование</w:t>
      </w:r>
    </w:p>
    <w:p w:rsidR="00E91F22" w:rsidRDefault="00E91F22" w:rsidP="00E91F2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Calibri" w:hAnsi="Times New Roman"/>
          <w:sz w:val="28"/>
          <w:szCs w:val="28"/>
        </w:rPr>
        <w:t xml:space="preserve">архитектурно-строительное проектирование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Как правило, победителями на </w:t>
      </w:r>
      <w:r>
        <w:rPr>
          <w:rFonts w:ascii="Times New Roman" w:hAnsi="Times New Roman"/>
          <w:color w:val="000000"/>
          <w:sz w:val="28"/>
          <w:szCs w:val="28"/>
        </w:rPr>
        <w:t>выполнение услуг в области архитектуры, инженерно-технического проектирования, технических испытаний, исследований и анализа осуществляют организации с частной формой собственности, зарегистрированные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расноярске.</w:t>
      </w:r>
    </w:p>
    <w:p w:rsidR="00E91F22" w:rsidRDefault="00E91F22" w:rsidP="00E91F2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F22" w:rsidRPr="003529FC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/>
          <w:i/>
          <w:color w:val="000000" w:themeColor="text1"/>
          <w:sz w:val="28"/>
          <w:szCs w:val="28"/>
        </w:rPr>
        <w:t>Теплоснабжение (производство тепловой энергии)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тепловой энергией объектов бюджетной сферы и населения, производят 13 котельных. Из них 12 - малые котельные, отапливающие объекты социальной сферы и административные здания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ольшой Улуй, остальное население использует печное  и электрическое отопление. Предоставлением услуг занимается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КоммунСтройСервис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91F22" w:rsidRPr="003529FC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/>
          <w:i/>
          <w:color w:val="000000" w:themeColor="text1"/>
          <w:sz w:val="28"/>
          <w:szCs w:val="28"/>
        </w:rPr>
        <w:t>Услуги по сбору и транспортированию твердых коммунальных отходов</w:t>
      </w:r>
    </w:p>
    <w:p w:rsidR="00E91F22" w:rsidRPr="003529FC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Большеулуйском районе</w:t>
      </w:r>
      <w:r w:rsidRPr="003529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услуга по сбору и транспортировке твердых коммунальных отходов осуществляется субъектами частного бизнеса порядка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100%.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Начиная с 01.01.2019</w:t>
      </w:r>
      <w:r w:rsidRPr="003529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начнут</w:t>
      </w:r>
      <w:proofErr w:type="gramEnd"/>
      <w:r w:rsidRPr="003529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свою работу региональные операторы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отходов – 100% частный бизнес.</w:t>
      </w:r>
    </w:p>
    <w:p w:rsidR="00E91F22" w:rsidRPr="009F48EC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0"/>
          <w:szCs w:val="20"/>
        </w:rPr>
      </w:pPr>
    </w:p>
    <w:p w:rsidR="00E91F22" w:rsidRPr="002749B4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749B4">
        <w:rPr>
          <w:rFonts w:ascii="Times New Roman" w:eastAsia="Calibri" w:hAnsi="Times New Roman"/>
          <w:i/>
          <w:color w:val="000000" w:themeColor="text1"/>
          <w:sz w:val="28"/>
          <w:szCs w:val="28"/>
        </w:rPr>
        <w:t>Розничная продажа нефтепродуктов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26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22600D">
        <w:rPr>
          <w:rFonts w:ascii="Times New Roman" w:eastAsia="Calibri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226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розничную продажу нефтепродуктов осуществляют следующие организации: Филиал «Западный» 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АО «</w:t>
      </w:r>
      <w:proofErr w:type="spellStart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Красноярскнефтепродукт</w:t>
      </w:r>
      <w:proofErr w:type="spellEnd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» (АЗС №41) </w:t>
      </w:r>
      <w:proofErr w:type="gramStart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и ООО</w:t>
      </w:r>
      <w:proofErr w:type="gramEnd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Причулымье</w:t>
      </w:r>
      <w:proofErr w:type="spellEnd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» (АЗС «Техас»).</w:t>
      </w:r>
    </w:p>
    <w:p w:rsidR="00E91F22" w:rsidRPr="00D72BAB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highlight w:val="yellow"/>
        </w:rPr>
      </w:pPr>
    </w:p>
    <w:p w:rsidR="00E91F22" w:rsidRPr="00631803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631803">
        <w:rPr>
          <w:rFonts w:ascii="Times New Roman" w:eastAsia="Calibri" w:hAnsi="Times New Roman"/>
          <w:i/>
          <w:color w:val="000000" w:themeColor="text1"/>
          <w:sz w:val="28"/>
          <w:szCs w:val="28"/>
        </w:rPr>
        <w:t>Услуги по перевозке пасс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ажиров и багажа легковым такси 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31803">
        <w:rPr>
          <w:rFonts w:ascii="Times New Roman" w:eastAsia="Calibri" w:hAnsi="Times New Roman"/>
          <w:color w:val="000000" w:themeColor="text1"/>
          <w:sz w:val="28"/>
          <w:szCs w:val="28"/>
        </w:rPr>
        <w:t>На текущий момент доля хозяйствующих субъектов частной формы собственности, осуществляющих деятельность по перевозке пасс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ажиров и багажа легковым такси, составляет 100%.</w:t>
      </w:r>
    </w:p>
    <w:p w:rsidR="00E91F22" w:rsidRPr="00631803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Основная проблема, связанная с осуществлением данного вида деятельности, заключается в легализации и оплате налогов и сборов, предусмотренных нормами действующего законодательства.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FF0000"/>
          <w:sz w:val="20"/>
          <w:szCs w:val="20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FF0000"/>
          <w:sz w:val="20"/>
          <w:szCs w:val="20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FF0000"/>
          <w:sz w:val="20"/>
          <w:szCs w:val="20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FF0000"/>
          <w:sz w:val="20"/>
          <w:szCs w:val="20"/>
        </w:rPr>
      </w:pP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О</w:t>
      </w:r>
      <w:r w:rsidRPr="00C9786B">
        <w:rPr>
          <w:rFonts w:ascii="Times New Roman" w:eastAsia="Calibri" w:hAnsi="Times New Roman"/>
          <w:i/>
          <w:color w:val="000000" w:themeColor="text1"/>
          <w:sz w:val="28"/>
          <w:szCs w:val="28"/>
        </w:rPr>
        <w:t>бработка древесины и производство изделий из дерева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Крупные лесозаготовители на территории 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отсутствуют. Заготовкой древесины в районе занимаются субъекты малого </w:t>
      </w:r>
      <w:r w:rsidRPr="000156F3">
        <w:rPr>
          <w:rFonts w:ascii="Times New Roman" w:eastAsia="Calibri" w:hAnsi="Times New Roman"/>
          <w:sz w:val="28"/>
          <w:szCs w:val="28"/>
        </w:rPr>
        <w:t>предпринимательства (14 субъектов), а также местное</w:t>
      </w:r>
      <w:r>
        <w:rPr>
          <w:rFonts w:ascii="Times New Roman" w:eastAsia="Calibri" w:hAnsi="Times New Roman"/>
          <w:sz w:val="28"/>
          <w:szCs w:val="28"/>
        </w:rPr>
        <w:t xml:space="preserve"> население, которое заготавливает древесину для собственных нужд (твердое топливо для печного отопления).</w:t>
      </w:r>
    </w:p>
    <w:p w:rsidR="00E91F22" w:rsidRPr="009F48EC" w:rsidRDefault="00E91F22" w:rsidP="00E91F22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/>
          <w:color w:val="FF0000"/>
          <w:sz w:val="20"/>
          <w:szCs w:val="20"/>
          <w:highlight w:val="yellow"/>
        </w:rPr>
      </w:pPr>
    </w:p>
    <w:p w:rsidR="00E91F22" w:rsidRPr="009D6333" w:rsidRDefault="00E91F22" w:rsidP="00E91F2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9D6333">
        <w:rPr>
          <w:rFonts w:ascii="Times New Roman" w:eastAsia="Calibri" w:hAnsi="Times New Roman"/>
          <w:i/>
          <w:color w:val="000000" w:themeColor="text1"/>
          <w:sz w:val="28"/>
          <w:szCs w:val="28"/>
        </w:rPr>
        <w:t>Ремонт автотранспортных средств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основании данных налоговой инспекции, согласно информации о распределени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малых предприятий и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индивидуальных предпринимателей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 видам экономической деятельности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техническое обслуживание и </w:t>
      </w:r>
      <w:r w:rsidRPr="000D6F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ремонт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легковых автомобилей и легких грузовых автотранспортных средств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на территории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района регистрацию осуществили 6 представителей субъектов малого и среднего предпринимательства.</w:t>
      </w:r>
    </w:p>
    <w:p w:rsidR="00E91F22" w:rsidRPr="00071A97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1F22" w:rsidRPr="005E365F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5E365F">
        <w:rPr>
          <w:rFonts w:ascii="Times New Roman" w:eastAsia="Calibri" w:hAnsi="Times New Roman"/>
          <w:i/>
          <w:sz w:val="28"/>
          <w:szCs w:val="28"/>
        </w:rPr>
        <w:t>В сфере культуры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района 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сотоянию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01.01.2018 года действуют 39 муниципальных учреждения культуры, из них:  24   учреждения клубного типа, 14 библиотек,  1 детская школа искусств. </w:t>
      </w:r>
    </w:p>
    <w:p w:rsidR="00E91F22" w:rsidRPr="00DC1714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 xml:space="preserve">Муниципальные учреждения культуры предоставляют населению бесплатные (например, библиотечные услуги), частично платные (клубная </w:t>
      </w:r>
      <w:r w:rsidRPr="00DC1714">
        <w:rPr>
          <w:rFonts w:ascii="Times New Roman" w:hAnsi="Times New Roman"/>
          <w:sz w:val="28"/>
          <w:szCs w:val="28"/>
        </w:rPr>
        <w:lastRenderedPageBreak/>
        <w:t>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E91F22" w:rsidRPr="00DC1714" w:rsidRDefault="00E91F22" w:rsidP="00E91F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1714">
        <w:rPr>
          <w:rFonts w:ascii="Times New Roman" w:hAnsi="Times New Roman"/>
          <w:sz w:val="28"/>
          <w:szCs w:val="28"/>
        </w:rPr>
        <w:t xml:space="preserve">Негосударственный сектор на рынке услуг в сфере культуры в </w:t>
      </w:r>
      <w:r>
        <w:rPr>
          <w:rFonts w:ascii="Times New Roman" w:hAnsi="Times New Roman"/>
          <w:sz w:val="28"/>
          <w:szCs w:val="28"/>
        </w:rPr>
        <w:t>Большеулуйском</w:t>
      </w:r>
      <w:r w:rsidRPr="00DC1714">
        <w:rPr>
          <w:rFonts w:ascii="Times New Roman" w:hAnsi="Times New Roman"/>
          <w:sz w:val="28"/>
          <w:szCs w:val="28"/>
        </w:rPr>
        <w:t xml:space="preserve"> районе не представлен.</w:t>
      </w:r>
    </w:p>
    <w:p w:rsidR="00E91F22" w:rsidRPr="00EF11D1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E91F22" w:rsidRPr="00E83A8A" w:rsidRDefault="00E91F22" w:rsidP="00E91F22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A8A">
        <w:rPr>
          <w:rFonts w:ascii="Times New Roman" w:eastAsia="Calibri" w:hAnsi="Times New Roman"/>
          <w:b/>
          <w:sz w:val="28"/>
          <w:szCs w:val="28"/>
        </w:rPr>
        <w:t>Характеристика основных административных и экономических барьеров входа на</w:t>
      </w:r>
      <w:r>
        <w:rPr>
          <w:rFonts w:ascii="Times New Roman" w:eastAsia="Calibri" w:hAnsi="Times New Roman"/>
          <w:b/>
          <w:sz w:val="28"/>
          <w:szCs w:val="28"/>
        </w:rPr>
        <w:t xml:space="preserve"> соответствующий товарный рынок</w:t>
      </w:r>
    </w:p>
    <w:p w:rsidR="00E91F22" w:rsidRPr="00E83A8A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1F2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Субъекты малого предпринимательства ведут свою деятельность во всех отраслях экономики района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.</w:t>
      </w:r>
    </w:p>
    <w:p w:rsidR="00E91F22" w:rsidRPr="00B778E7" w:rsidRDefault="00E91F22" w:rsidP="00E91F2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Преобладающим видом экономической деятельности у малых и средних предприятий является «Ремонтно-строительные работы» 33,4% (12 предприятий). Одним из основных видов экономической деятельности является «Оптовая и розничная торговля; ремонт автотранспортных средств, мотоциклов, бытовых изделий и предметов личного пользования». Число субъектов малого предпринимательства в этой области составило – 27,9% (10 организаций). 11,2 % (4 субъекта) занимаются видом деятельности «Обрабатывающее производство», 8,4% (3 субъекта) занимаются «Сельское хозяйство, охота и лесное хозяйство».  5,5% (4 субъекта) занимаются видом деятельности "Деятельность грузоперевозок". По 2,7% (3 предприятия) занимаются "Управление и эксплуатация жилищным фондом", "Обучение водителей автотранспортных средств". </w:t>
      </w:r>
      <w:r w:rsidRPr="00B778E7">
        <w:rPr>
          <w:rFonts w:ascii="Times New Roman CYR" w:hAnsi="Times New Roman CYR" w:cs="Times New Roman CYR"/>
          <w:sz w:val="28"/>
          <w:szCs w:val="28"/>
        </w:rPr>
        <w:t>В прогнозируемом периоде ожидается, что количество малых предприятий и структура их распределения по видам экономической деятельности не изменятся.</w:t>
      </w:r>
    </w:p>
    <w:p w:rsidR="00E91F22" w:rsidRDefault="00E91F22" w:rsidP="00E91F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Оборот организаций малого бизнеса  в 2017 году  по сравнению с 2016 годом увеличился на 34,23% и составил 368985,64 тыс. руб. Увеличение оборота произошло в следующих отраслях: лесное хозяйство - 5781,00 тыс. руб., строительство - 176499,00 тыс. руб., а также в деятельности в области здравоохранения и социальных услуг - 35877,20 тыс. руб. </w:t>
      </w:r>
    </w:p>
    <w:p w:rsidR="00E91F22" w:rsidRPr="00DE7BD6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t>Оценка состояния конкуренции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DE7BD6">
        <w:rPr>
          <w:rFonts w:ascii="Times New Roman" w:eastAsia="Calibri" w:hAnsi="Times New Roman"/>
          <w:sz w:val="28"/>
          <w:szCs w:val="28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E91F22" w:rsidRPr="00DE7BD6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E91F22" w:rsidRPr="00DE7BD6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E91F22" w:rsidRPr="00DE7BD6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</w:t>
      </w:r>
      <w:r>
        <w:rPr>
          <w:rFonts w:ascii="Times New Roman" w:eastAsia="Calibri" w:hAnsi="Times New Roman"/>
          <w:sz w:val="28"/>
          <w:szCs w:val="28"/>
        </w:rPr>
        <w:t xml:space="preserve"> (муниципальным)</w:t>
      </w:r>
      <w:r w:rsidRPr="00DE7BD6">
        <w:rPr>
          <w:rFonts w:ascii="Times New Roman" w:eastAsia="Calibri" w:hAnsi="Times New Roman"/>
          <w:sz w:val="28"/>
          <w:szCs w:val="28"/>
        </w:rPr>
        <w:t xml:space="preserve"> участием значительного количества непрофильных активов и медленными темпами их реализации.</w:t>
      </w:r>
    </w:p>
    <w:p w:rsidR="00E91F22" w:rsidRPr="00DE7BD6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lastRenderedPageBreak/>
        <w:t>Важнейшим фактором, сдерживающим разв</w:t>
      </w:r>
      <w:r>
        <w:rPr>
          <w:rFonts w:ascii="Times New Roman" w:eastAsia="Calibri" w:hAnsi="Times New Roman"/>
          <w:sz w:val="28"/>
          <w:szCs w:val="28"/>
        </w:rPr>
        <w:t xml:space="preserve">итие </w:t>
      </w:r>
      <w:proofErr w:type="gramStart"/>
      <w:r>
        <w:rPr>
          <w:rFonts w:ascii="Times New Roman" w:eastAsia="Calibri" w:hAnsi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E7BD6">
        <w:rPr>
          <w:rFonts w:ascii="Times New Roman" w:eastAsia="Calibri" w:hAnsi="Times New Roman"/>
          <w:sz w:val="28"/>
          <w:szCs w:val="28"/>
        </w:rPr>
        <w:t>является состояние системы тарифного регулирования, оказывающего решающее значение на все сферы деятельности.</w:t>
      </w:r>
    </w:p>
    <w:p w:rsidR="00E91F22" w:rsidRDefault="00E91F22" w:rsidP="00E91F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E7BD6">
        <w:rPr>
          <w:rFonts w:ascii="Times New Roman" w:eastAsia="Calibri" w:hAnsi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E91F22" w:rsidRPr="00A86769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6769">
        <w:rPr>
          <w:rFonts w:ascii="Times New Roman" w:eastAsia="Calibri" w:hAnsi="Times New Roman"/>
          <w:sz w:val="28"/>
          <w:szCs w:val="28"/>
        </w:rPr>
        <w:t xml:space="preserve">В сфере культуры основными административными и </w:t>
      </w:r>
      <w:proofErr w:type="gramStart"/>
      <w:r w:rsidRPr="00A86769">
        <w:rPr>
          <w:rFonts w:ascii="Times New Roman" w:eastAsia="Calibri" w:hAnsi="Times New Roman"/>
          <w:sz w:val="28"/>
          <w:szCs w:val="28"/>
        </w:rPr>
        <w:t>экономическими барьерами, препятствующими вхождению негосударственных организаций на рынок услуг в сфере культуры являются</w:t>
      </w:r>
      <w:proofErr w:type="gramEnd"/>
      <w:r w:rsidRPr="00A86769">
        <w:rPr>
          <w:rFonts w:ascii="Times New Roman" w:eastAsia="Calibri" w:hAnsi="Times New Roman"/>
          <w:sz w:val="28"/>
          <w:szCs w:val="28"/>
        </w:rPr>
        <w:t>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культуры; значительные вложения при длительных сроках окупаемости; отсутствие собственных площадей.</w:t>
      </w:r>
    </w:p>
    <w:p w:rsidR="00E91F22" w:rsidRPr="00A86769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6769">
        <w:rPr>
          <w:rFonts w:ascii="Times New Roman" w:eastAsia="Calibri" w:hAnsi="Times New Roman"/>
          <w:sz w:val="28"/>
          <w:szCs w:val="28"/>
        </w:rPr>
        <w:t>Основные факторы, ограничивающие строительную деятельность: высокая стоимость материалов, конструкций, изделий; высокий уровень налогов; высокий процент коммерческого кредита.</w:t>
      </w:r>
    </w:p>
    <w:p w:rsidR="00E91F22" w:rsidRPr="0019231F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Pr="00FA7D64" w:rsidRDefault="00E91F22" w:rsidP="00E91F22">
      <w:pPr>
        <w:pStyle w:val="a3"/>
        <w:numPr>
          <w:ilvl w:val="1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A7D64">
        <w:rPr>
          <w:rFonts w:ascii="Times New Roman" w:eastAsia="Calibri" w:hAnsi="Times New Roman"/>
          <w:b/>
          <w:sz w:val="28"/>
          <w:szCs w:val="28"/>
        </w:rPr>
        <w:t>Оценка состояния конкурент</w:t>
      </w:r>
      <w:r>
        <w:rPr>
          <w:rFonts w:ascii="Times New Roman" w:eastAsia="Calibri" w:hAnsi="Times New Roman"/>
          <w:b/>
          <w:sz w:val="28"/>
          <w:szCs w:val="28"/>
        </w:rPr>
        <w:t xml:space="preserve">ной среды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</w:rPr>
        <w:t>бизнес-объединениями</w:t>
      </w:r>
      <w:proofErr w:type="spellEnd"/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A7D64">
        <w:rPr>
          <w:rFonts w:ascii="Times New Roman" w:eastAsia="Calibri" w:hAnsi="Times New Roman"/>
          <w:b/>
          <w:sz w:val="28"/>
          <w:szCs w:val="28"/>
        </w:rPr>
        <w:t>и потребителями</w:t>
      </w:r>
    </w:p>
    <w:p w:rsidR="00E91F22" w:rsidRPr="005301D7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1F22" w:rsidRPr="00FD5F51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7D64">
        <w:rPr>
          <w:rFonts w:ascii="Times New Roman" w:hAnsi="Times New Roman"/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, за основу взяты данные научно-исследовательской работы </w:t>
      </w:r>
      <w:r w:rsidRPr="00FA7D64">
        <w:rPr>
          <w:rFonts w:ascii="Times New Roman" w:hAnsi="Times New Roman"/>
          <w:sz w:val="28"/>
          <w:szCs w:val="28"/>
        </w:rPr>
        <w:t>КГБУ «Центр социал</w:t>
      </w:r>
      <w:r>
        <w:rPr>
          <w:rFonts w:ascii="Times New Roman" w:hAnsi="Times New Roman"/>
          <w:sz w:val="28"/>
          <w:szCs w:val="28"/>
        </w:rPr>
        <w:t>ьно-экономического мониторинга».</w:t>
      </w:r>
    </w:p>
    <w:p w:rsidR="00E91F22" w:rsidRPr="00FA7D64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D64">
        <w:rPr>
          <w:rFonts w:ascii="Times New Roman" w:hAnsi="Times New Roman"/>
          <w:sz w:val="28"/>
          <w:szCs w:val="28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E91F22" w:rsidRPr="00FA7D64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D64">
        <w:rPr>
          <w:rFonts w:ascii="Times New Roman" w:hAnsi="Times New Roman"/>
          <w:sz w:val="28"/>
          <w:szCs w:val="28"/>
        </w:rPr>
        <w:t xml:space="preserve">Для достижения указанной цели: </w:t>
      </w:r>
    </w:p>
    <w:p w:rsidR="00E91F22" w:rsidRPr="00FA7D64" w:rsidRDefault="00E91F22" w:rsidP="00E91F22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FA7D64">
        <w:rPr>
          <w:rFonts w:ascii="Times New Roman" w:hAnsi="Times New Roman"/>
          <w:color w:val="000000"/>
          <w:sz w:val="28"/>
          <w:szCs w:val="28"/>
        </w:rPr>
        <w:t xml:space="preserve">определены барьеры ведения предпринимательской деятельности </w:t>
      </w:r>
      <w:r w:rsidRPr="00FA7D64">
        <w:rPr>
          <w:rFonts w:ascii="Times New Roman" w:hAnsi="Times New Roman"/>
          <w:color w:val="000000"/>
          <w:sz w:val="28"/>
          <w:szCs w:val="28"/>
        </w:rPr>
        <w:br/>
        <w:t>в Красноярском крае;</w:t>
      </w:r>
    </w:p>
    <w:p w:rsidR="00E91F22" w:rsidRPr="00FA7D64" w:rsidRDefault="00E91F22" w:rsidP="00E91F22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FA7D64">
        <w:rPr>
          <w:rFonts w:ascii="Times New Roman" w:hAnsi="Times New Roman"/>
          <w:color w:val="000000"/>
          <w:sz w:val="28"/>
          <w:szCs w:val="28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E91F22" w:rsidRPr="00FA7D64" w:rsidRDefault="00E91F22" w:rsidP="00E91F22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FA7D64">
        <w:rPr>
          <w:rFonts w:ascii="Times New Roman" w:hAnsi="Times New Roman"/>
          <w:color w:val="000000"/>
          <w:sz w:val="28"/>
          <w:szCs w:val="28"/>
        </w:rPr>
        <w:t xml:space="preserve">сформирован перечень социально значимых рынков Красноярского края; </w:t>
      </w:r>
    </w:p>
    <w:p w:rsidR="00E91F22" w:rsidRPr="00FA7D64" w:rsidRDefault="00E91F22" w:rsidP="00E91F22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FA7D64">
        <w:rPr>
          <w:rFonts w:ascii="Times New Roman" w:hAnsi="Times New Roman"/>
          <w:color w:val="000000"/>
          <w:sz w:val="28"/>
          <w:szCs w:val="28"/>
        </w:rPr>
        <w:t xml:space="preserve">сформирован перечень перспективных рынков Красноярского края; </w:t>
      </w:r>
    </w:p>
    <w:p w:rsidR="00E91F22" w:rsidRPr="00FA7D64" w:rsidRDefault="00E91F22" w:rsidP="00E91F22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FA7D64">
        <w:rPr>
          <w:rFonts w:ascii="Times New Roman" w:hAnsi="Times New Roman"/>
          <w:color w:val="000000"/>
          <w:sz w:val="28"/>
          <w:szCs w:val="28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E91F22" w:rsidRPr="00FA7D64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D64">
        <w:rPr>
          <w:rFonts w:ascii="Times New Roman" w:hAnsi="Times New Roman"/>
          <w:sz w:val="28"/>
          <w:szCs w:val="28"/>
        </w:rPr>
        <w:t xml:space="preserve">Детальное исследование социально значимых рынков Красноярского края в 2017 году не проводилось, в связи с тем, что перечни социально значимых </w:t>
      </w:r>
      <w:r w:rsidRPr="00FA7D64">
        <w:rPr>
          <w:rFonts w:ascii="Times New Roman" w:hAnsi="Times New Roman"/>
          <w:sz w:val="28"/>
          <w:szCs w:val="28"/>
        </w:rPr>
        <w:br/>
        <w:t>и приоритетных рынков края утверждены в марте 2017 года.</w:t>
      </w:r>
    </w:p>
    <w:p w:rsidR="00E91F22" w:rsidRDefault="00E91F22" w:rsidP="00E91F22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A7D64">
        <w:rPr>
          <w:rFonts w:ascii="Times New Roman" w:hAnsi="Times New Roman"/>
          <w:spacing w:val="-2"/>
          <w:sz w:val="28"/>
          <w:szCs w:val="28"/>
        </w:rPr>
        <w:t xml:space="preserve">По итогам 2017 года: 17% строительных организаций края считают, что </w:t>
      </w:r>
      <w:r w:rsidRPr="00FA7D64">
        <w:rPr>
          <w:rFonts w:ascii="Times New Roman" w:hAnsi="Times New Roman"/>
          <w:sz w:val="28"/>
          <w:szCs w:val="28"/>
        </w:rPr>
        <w:t xml:space="preserve">уровень ненадлежащей рекламы снизился; 11,2% - состояние конкурентной </w:t>
      </w:r>
      <w:r w:rsidRPr="00FA7D64">
        <w:rPr>
          <w:rFonts w:ascii="Times New Roman" w:hAnsi="Times New Roman"/>
          <w:spacing w:val="-1"/>
          <w:sz w:val="28"/>
          <w:szCs w:val="28"/>
        </w:rPr>
        <w:t xml:space="preserve">среды улучшилось; 7,8% - уровень недобросовестной конкуренции снизился; </w:t>
      </w:r>
      <w:r w:rsidRPr="00FA7D64">
        <w:rPr>
          <w:rFonts w:ascii="Times New Roman" w:hAnsi="Times New Roman"/>
          <w:sz w:val="28"/>
          <w:szCs w:val="28"/>
        </w:rPr>
        <w:t xml:space="preserve">свыше 80% строительных организаций оценивают собственную конкурентную среду «без изменений». В 3 квартале 2018 года 75% строительных организаций оценивают собственную конкурентную среду «без изменений», </w:t>
      </w:r>
      <w:r w:rsidRPr="00FA7D64">
        <w:rPr>
          <w:rFonts w:ascii="Times New Roman" w:hAnsi="Times New Roman"/>
          <w:spacing w:val="-1"/>
          <w:sz w:val="28"/>
          <w:szCs w:val="28"/>
        </w:rPr>
        <w:t xml:space="preserve">15% - </w:t>
      </w:r>
      <w:r w:rsidRPr="00FA7D64">
        <w:rPr>
          <w:rFonts w:ascii="Times New Roman" w:hAnsi="Times New Roman"/>
          <w:spacing w:val="-1"/>
          <w:sz w:val="28"/>
          <w:szCs w:val="28"/>
        </w:rPr>
        <w:lastRenderedPageBreak/>
        <w:t>«уменьшение (ухудшение)», 10% - «увеличение (улучшение)».</w:t>
      </w:r>
    </w:p>
    <w:p w:rsidR="00E91F22" w:rsidRPr="00FA7D64" w:rsidRDefault="00E91F22" w:rsidP="00E91F22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left="125" w:right="-2"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91F22" w:rsidRPr="00FE5DAB" w:rsidRDefault="00E91F22" w:rsidP="00E91F22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FE5DAB">
        <w:rPr>
          <w:rFonts w:ascii="Times New Roman" w:eastAsia="Calibri" w:hAnsi="Times New Roman"/>
          <w:b/>
          <w:sz w:val="28"/>
          <w:szCs w:val="28"/>
        </w:rPr>
        <w:t>Ключевые показатели развития конкур</w:t>
      </w:r>
      <w:r>
        <w:rPr>
          <w:rFonts w:ascii="Times New Roman" w:eastAsia="Calibri" w:hAnsi="Times New Roman"/>
          <w:b/>
          <w:sz w:val="28"/>
          <w:szCs w:val="28"/>
        </w:rPr>
        <w:t>енции в Большеулуйском районе до 2022 года</w:t>
      </w: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159" w:type="dxa"/>
        <w:tblInd w:w="118" w:type="dxa"/>
        <w:tblLook w:val="04A0"/>
      </w:tblPr>
      <w:tblGrid>
        <w:gridCol w:w="456"/>
        <w:gridCol w:w="4459"/>
        <w:gridCol w:w="1296"/>
        <w:gridCol w:w="1296"/>
        <w:gridCol w:w="1356"/>
        <w:gridCol w:w="1296"/>
      </w:tblGrid>
      <w:tr w:rsidR="00E91F22" w:rsidRPr="005020F7" w:rsidTr="008C3300">
        <w:trPr>
          <w:trHeight w:val="9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01.01.2022</w:t>
            </w:r>
          </w:p>
        </w:tc>
      </w:tr>
      <w:tr w:rsidR="00E91F22" w:rsidRPr="005020F7" w:rsidTr="008C3300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91F22" w:rsidRPr="005020F7" w:rsidTr="008C3300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91F22" w:rsidRPr="005020F7" w:rsidTr="008C3300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91F22" w:rsidRPr="005020F7" w:rsidTr="008C3300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5020F7" w:rsidTr="008C3300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5020F7" w:rsidTr="008C3300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5020F7" w:rsidTr="008C3300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F22" w:rsidRPr="005020F7" w:rsidTr="008C3300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22" w:rsidRPr="005020F7" w:rsidRDefault="00E91F22" w:rsidP="008C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91F22" w:rsidRDefault="00E91F22" w:rsidP="00E91F2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Pr="00B54573" w:rsidRDefault="00E91F22" w:rsidP="00E91F22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4573">
        <w:rPr>
          <w:rFonts w:ascii="Times New Roman" w:eastAsia="Calibri" w:hAnsi="Times New Roman"/>
          <w:b/>
          <w:sz w:val="28"/>
          <w:szCs w:val="28"/>
        </w:rPr>
        <w:t>Ресурсное обеспечение дорожной карты</w:t>
      </w:r>
    </w:p>
    <w:p w:rsidR="00E91F22" w:rsidRPr="00D12477" w:rsidRDefault="00E91F22" w:rsidP="00E91F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дорожной карты и в соответствии с распоряжением Правительства Российской Федерации от 17.04.2019 № 768-р «Об утверждении </w:t>
      </w:r>
      <w:r w:rsidRPr="0062067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62067F">
        <w:rPr>
          <w:rFonts w:ascii="Times New Roman" w:hAnsi="Times New Roman"/>
          <w:sz w:val="28"/>
          <w:szCs w:val="28"/>
        </w:rPr>
        <w:t xml:space="preserve"> развития конкуренции в субъектах Российской Федерации</w:t>
      </w:r>
      <w:r>
        <w:rPr>
          <w:rFonts w:ascii="Times New Roman" w:hAnsi="Times New Roman"/>
          <w:sz w:val="28"/>
          <w:szCs w:val="28"/>
        </w:rPr>
        <w:t xml:space="preserve">» необходимо организовать </w:t>
      </w:r>
      <w:r w:rsidRPr="0062067F">
        <w:rPr>
          <w:rFonts w:ascii="Times New Roman" w:hAnsi="Times New Roman"/>
          <w:sz w:val="28"/>
          <w:szCs w:val="28"/>
        </w:rPr>
        <w:t xml:space="preserve">проведение мониторинга состояния и развития конкурентной среды на рынках товаров, работ и услуг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утвержденных муниципальных программ определено ресурсное обеспечение «дорожной карты»: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D12477">
        <w:rPr>
          <w:rFonts w:ascii="Times New Roman" w:eastAsia="Calibri" w:hAnsi="Times New Roman"/>
          <w:sz w:val="28"/>
          <w:szCs w:val="28"/>
          <w:u w:val="single"/>
        </w:rPr>
        <w:t>В сфере сельского хозяйства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</w:t>
      </w:r>
      <w:r w:rsidRPr="00D87CE5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sz w:val="28"/>
          <w:szCs w:val="28"/>
        </w:rPr>
        <w:t xml:space="preserve">» составляет: 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бюджета,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2394,9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2394,9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2394,9 тыс. рублей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2C1C5C">
        <w:rPr>
          <w:rFonts w:ascii="Times New Roman" w:eastAsia="Calibri" w:hAnsi="Times New Roman"/>
          <w:sz w:val="28"/>
          <w:szCs w:val="28"/>
          <w:u w:val="single"/>
        </w:rPr>
        <w:lastRenderedPageBreak/>
        <w:t>В сфере промышленности, энергетики и жилищно-коммунального хозяйства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17513">
        <w:rPr>
          <w:rFonts w:ascii="Times New Roman" w:hAnsi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/>
          <w:sz w:val="28"/>
          <w:szCs w:val="28"/>
        </w:rPr>
        <w:t xml:space="preserve"> «Реформирование и модернизация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</w:t>
      </w:r>
      <w:r w:rsidRPr="00517513">
        <w:rPr>
          <w:rFonts w:ascii="Times New Roman" w:hAnsi="Times New Roman"/>
          <w:sz w:val="28"/>
          <w:szCs w:val="28"/>
        </w:rPr>
        <w:t>»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2 058,9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2 058,9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2 058,9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65 192,8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65 192,8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65 192,8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Pr="009F670D">
        <w:rPr>
          <w:rFonts w:ascii="Times New Roman" w:hAnsi="Times New Roman"/>
          <w:sz w:val="28"/>
          <w:szCs w:val="28"/>
        </w:rPr>
        <w:t xml:space="preserve"> </w:t>
      </w:r>
      <w:r w:rsidRPr="00517513">
        <w:rPr>
          <w:rFonts w:ascii="Times New Roman" w:hAnsi="Times New Roman"/>
          <w:sz w:val="28"/>
          <w:szCs w:val="28"/>
        </w:rPr>
        <w:t xml:space="preserve">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17513">
        <w:rPr>
          <w:rFonts w:ascii="Times New Roman" w:hAnsi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Эффективное управление муниципальным имуществом и земельными отношениями</w:t>
      </w:r>
      <w:r w:rsidRPr="00517513">
        <w:rPr>
          <w:rFonts w:ascii="Times New Roman" w:hAnsi="Times New Roman"/>
          <w:sz w:val="28"/>
          <w:szCs w:val="28"/>
        </w:rPr>
        <w:t>»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3466,1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3442,6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3442,6 тыс. рублей;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9F670D">
        <w:rPr>
          <w:rFonts w:ascii="Times New Roman" w:eastAsia="Calibri" w:hAnsi="Times New Roman"/>
          <w:sz w:val="28"/>
          <w:szCs w:val="28"/>
          <w:u w:val="single"/>
        </w:rPr>
        <w:t>В сфере образования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7513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образования</w:t>
      </w:r>
      <w:r w:rsidRPr="00517513">
        <w:rPr>
          <w:rFonts w:ascii="Times New Roman" w:hAnsi="Times New Roman"/>
          <w:sz w:val="28"/>
          <w:szCs w:val="28"/>
        </w:rPr>
        <w:t>» составляет: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17513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а</w:t>
      </w:r>
      <w:r w:rsidRPr="00517513">
        <w:rPr>
          <w:rFonts w:ascii="Times New Roman" w:hAnsi="Times New Roman"/>
          <w:sz w:val="28"/>
          <w:szCs w:val="28"/>
        </w:rPr>
        <w:t xml:space="preserve"> краевого бюджета по годам: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151506,3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151506,3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151506,3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</w:t>
      </w:r>
      <w:r w:rsidRPr="00517513">
        <w:rPr>
          <w:rFonts w:ascii="Times New Roman" w:hAnsi="Times New Roman"/>
          <w:sz w:val="28"/>
          <w:szCs w:val="28"/>
        </w:rPr>
        <w:t xml:space="preserve"> по годам: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78181,1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79651,6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51751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79651,6</w:t>
      </w:r>
      <w:r w:rsidRPr="0051751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В сфере транспорта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Pr="00517513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513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/>
          <w:sz w:val="28"/>
          <w:szCs w:val="28"/>
        </w:rPr>
        <w:t xml:space="preserve"> «Развитие транспортной системы» составляет:</w:t>
      </w:r>
    </w:p>
    <w:p w:rsidR="00E91F22" w:rsidRPr="00517513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517513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 годам</w:t>
      </w:r>
      <w:r w:rsidRPr="00517513">
        <w:rPr>
          <w:rFonts w:ascii="Times New Roman" w:hAnsi="Times New Roman"/>
          <w:sz w:val="28"/>
          <w:szCs w:val="28"/>
        </w:rPr>
        <w:t>:</w:t>
      </w:r>
    </w:p>
    <w:p w:rsidR="00E91F22" w:rsidRPr="00517513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10471,3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10471,3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Pr="00517513" w:rsidRDefault="00E91F22" w:rsidP="00E9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513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–</w:t>
      </w:r>
      <w:r w:rsidRPr="0051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10471,3</w:t>
      </w:r>
      <w:r w:rsidRPr="005175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В социальной сфере</w:t>
      </w:r>
    </w:p>
    <w:p w:rsidR="00E91F22" w:rsidRDefault="00E91F22" w:rsidP="00E91F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«С</w:t>
      </w:r>
      <w:r w:rsidRPr="00D87CE5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D87CE5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D87CE5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составляет: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3610,9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3610,9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3610,9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25243,8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25243,8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25243,8 тыс. рублей.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«Развитие субъектов малого и среднего предпринимательства» составляет: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по годам: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193,0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200,0 тыс. рублей;</w:t>
      </w:r>
    </w:p>
    <w:p w:rsidR="00E91F22" w:rsidRDefault="00E91F22" w:rsidP="00E91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200,0 тыс. рублей.</w:t>
      </w: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  <w:sectPr w:rsidR="00E91F22" w:rsidSect="00E91F22">
          <w:footerReference w:type="first" r:id="rId6"/>
          <w:pgSz w:w="11906" w:h="16838"/>
          <w:pgMar w:top="1134" w:right="1134" w:bottom="851" w:left="1134" w:header="709" w:footer="709" w:gutter="0"/>
          <w:pgNumType w:start="1"/>
          <w:cols w:space="720"/>
          <w:titlePg/>
          <w:docGrid w:linePitch="299"/>
        </w:sectPr>
      </w:pPr>
    </w:p>
    <w:p w:rsidR="00E91F22" w:rsidRDefault="00E91F22" w:rsidP="00E91F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1F22" w:rsidRPr="00D12477" w:rsidRDefault="00E91F22" w:rsidP="00E91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4B4576">
        <w:rPr>
          <w:rFonts w:ascii="Times New Roman" w:eastAsia="SimSun" w:hAnsi="Times New Roman"/>
          <w:b/>
          <w:kern w:val="3"/>
          <w:sz w:val="28"/>
          <w:szCs w:val="28"/>
          <w:lang w:val="en-US"/>
        </w:rPr>
        <w:t>V</w:t>
      </w:r>
      <w:r w:rsidRPr="004B4576">
        <w:rPr>
          <w:rFonts w:ascii="Times New Roman" w:eastAsia="SimSun" w:hAnsi="Times New Roman"/>
          <w:b/>
          <w:kern w:val="3"/>
          <w:sz w:val="28"/>
          <w:szCs w:val="28"/>
        </w:rPr>
        <w:t>. План мероприятий</w:t>
      </w:r>
    </w:p>
    <w:p w:rsidR="00E91F22" w:rsidRPr="00D12477" w:rsidRDefault="00E91F22" w:rsidP="00E91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E91F22" w:rsidRPr="00360F24" w:rsidRDefault="00E91F22" w:rsidP="00E91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60F24">
        <w:rPr>
          <w:rFonts w:ascii="Times New Roman" w:eastAsia="SimSun" w:hAnsi="Times New Roman"/>
          <w:b/>
          <w:kern w:val="3"/>
          <w:sz w:val="24"/>
          <w:szCs w:val="24"/>
        </w:rPr>
        <w:t>5.1. Системные мероприятия по содействию развити</w:t>
      </w:r>
      <w:r>
        <w:rPr>
          <w:rFonts w:ascii="Times New Roman" w:eastAsia="SimSun" w:hAnsi="Times New Roman"/>
          <w:b/>
          <w:kern w:val="3"/>
          <w:sz w:val="24"/>
          <w:szCs w:val="24"/>
        </w:rPr>
        <w:t>ю</w:t>
      </w:r>
      <w:r w:rsidRPr="00360F2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360F24">
        <w:rPr>
          <w:rFonts w:ascii="Times New Roman" w:eastAsia="SimSun" w:hAnsi="Times New Roman"/>
          <w:b/>
          <w:kern w:val="3"/>
          <w:sz w:val="24"/>
          <w:szCs w:val="24"/>
        </w:rPr>
        <w:t xml:space="preserve">конкуренции в </w:t>
      </w:r>
      <w:r>
        <w:rPr>
          <w:rFonts w:ascii="Times New Roman" w:eastAsia="SimSun" w:hAnsi="Times New Roman"/>
          <w:b/>
          <w:kern w:val="3"/>
          <w:sz w:val="24"/>
          <w:szCs w:val="24"/>
        </w:rPr>
        <w:t>Большеулуйском</w:t>
      </w:r>
      <w:r w:rsidRPr="00360F24">
        <w:rPr>
          <w:rFonts w:ascii="Times New Roman" w:eastAsia="SimSun" w:hAnsi="Times New Roman"/>
          <w:b/>
          <w:kern w:val="3"/>
          <w:sz w:val="24"/>
          <w:szCs w:val="24"/>
        </w:rPr>
        <w:t xml:space="preserve"> районе</w:t>
      </w:r>
    </w:p>
    <w:p w:rsidR="00E91F22" w:rsidRPr="00D12477" w:rsidRDefault="00E91F22" w:rsidP="00E91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22832" w:type="dxa"/>
        <w:tblLayout w:type="fixed"/>
        <w:tblLook w:val="04A0"/>
      </w:tblPr>
      <w:tblGrid>
        <w:gridCol w:w="1242"/>
        <w:gridCol w:w="2552"/>
        <w:gridCol w:w="2410"/>
        <w:gridCol w:w="2693"/>
        <w:gridCol w:w="1701"/>
        <w:gridCol w:w="2604"/>
        <w:gridCol w:w="30"/>
        <w:gridCol w:w="30"/>
        <w:gridCol w:w="15"/>
        <w:gridCol w:w="15"/>
        <w:gridCol w:w="660"/>
        <w:gridCol w:w="1185"/>
        <w:gridCol w:w="15"/>
        <w:gridCol w:w="15"/>
        <w:gridCol w:w="15"/>
        <w:gridCol w:w="1380"/>
        <w:gridCol w:w="6270"/>
      </w:tblGrid>
      <w:tr w:rsidR="00E91F22" w:rsidRPr="000968FC" w:rsidTr="008C3300">
        <w:trPr>
          <w:gridAfter w:val="2"/>
          <w:wAfter w:w="7650" w:type="dxa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ис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полнения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Ответственные и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сполнители</w:t>
            </w:r>
          </w:p>
        </w:tc>
        <w:tc>
          <w:tcPr>
            <w:tcW w:w="1890" w:type="dxa"/>
            <w:gridSpan w:val="5"/>
            <w:shd w:val="clear" w:color="auto" w:fill="D9D9D9" w:themeFill="background1" w:themeFillShade="D9"/>
          </w:tcPr>
          <w:p w:rsidR="00E91F22" w:rsidRPr="00563719" w:rsidRDefault="00E91F22" w:rsidP="008C3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3719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Увеличение доли участия субъектов МСП в процедурах закупок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Постоянно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Контрактный управляющий</w:t>
            </w:r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Большеулуйского</w:t>
            </w:r>
            <w:proofErr w:type="spellEnd"/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общественного обсуждения закупок товаров, работ, услуг для государственных нужд 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Большеулуйский район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на сумму свыше 1 млрд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Постоянно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Контрактный управляющий</w:t>
            </w:r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Большеулуйского</w:t>
            </w:r>
            <w:proofErr w:type="spellEnd"/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Развитие конкуренции в сфере распоряжения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муниципаль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опубликования и актуализации на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официальном сайте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район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информационно-телекоммуникационной сети «Интернет» информации об объектах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Выявление неэффективно используемого муниципального имущества с целью предоставления в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аренду субъектам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Актуализация перечня муниципального имущества для предоставления в аренду субъектам МСП</w:t>
            </w:r>
          </w:p>
        </w:tc>
        <w:tc>
          <w:tcPr>
            <w:tcW w:w="1701" w:type="dxa"/>
            <w:shd w:val="clear" w:color="auto" w:fill="auto"/>
          </w:tcPr>
          <w:p w:rsidR="00E91F22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(актуализация)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E91F2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725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1, </w:t>
            </w:r>
          </w:p>
          <w:p w:rsidR="00E91F22" w:rsidRPr="00725AC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725AC2">
              <w:rPr>
                <w:rFonts w:ascii="Times New Roman" w:hAnsi="Times New Roman"/>
                <w:sz w:val="24"/>
                <w:szCs w:val="24"/>
              </w:rPr>
              <w:t>2021 - 1</w:t>
            </w:r>
          </w:p>
        </w:tc>
      </w:tr>
      <w:tr w:rsidR="00E91F22" w:rsidRPr="000968FC" w:rsidTr="008C3300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приватизации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муниципальных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01.01.2019г.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зарегистрировано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одного муниципального унитарного предприятия (МУП «Сигнал»)</w:t>
            </w: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E91F22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, отдел правового обеспечения  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E91F22" w:rsidRPr="00DC7A8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2021 год - 1</w:t>
            </w:r>
          </w:p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ликвидации или реорганизация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муниципальных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унитарных предприятий, имеющих отрицательный финансовый результат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01.01.2019г.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зарегистрировано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одного муниципального унитарного предприятия (МУП «Рассвет»)</w:t>
            </w: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E91F22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, отдел правового обеспечения  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E91F22" w:rsidRPr="00DC7A8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31.12.2020 - 1</w:t>
            </w:r>
          </w:p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01.01.2022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правового 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 w:val="restart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обучения муниципальных служащих и работников подведомственных предприятий и учреждений основам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государственной политики по развитию конкуренции и антимонопольного законодательства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1F22" w:rsidRPr="000968FC" w:rsidRDefault="00E91F22" w:rsidP="008C3300"/>
        </w:tc>
        <w:tc>
          <w:tcPr>
            <w:tcW w:w="2664" w:type="dxa"/>
            <w:gridSpan w:val="3"/>
            <w:vMerge/>
            <w:shd w:val="clear" w:color="auto" w:fill="auto"/>
          </w:tcPr>
          <w:p w:rsidR="00E91F22" w:rsidRPr="000968FC" w:rsidRDefault="00E91F22" w:rsidP="008C3300"/>
        </w:tc>
        <w:tc>
          <w:tcPr>
            <w:tcW w:w="1920" w:type="dxa"/>
            <w:gridSpan w:val="7"/>
            <w:vMerge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01.01.2022 года)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01.01.2022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правового 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E91F22" w:rsidRPr="000968FC" w:rsidRDefault="00E91F22" w:rsidP="008C3300"/>
        </w:tc>
        <w:tc>
          <w:tcPr>
            <w:tcW w:w="1920" w:type="dxa"/>
            <w:gridSpan w:val="7"/>
            <w:shd w:val="clear" w:color="auto" w:fill="auto"/>
          </w:tcPr>
          <w:p w:rsidR="00E91F2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 xml:space="preserve">2019 – 1, </w:t>
            </w:r>
          </w:p>
          <w:p w:rsidR="00E91F2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 xml:space="preserve">2020 – 1, </w:t>
            </w:r>
          </w:p>
          <w:p w:rsidR="00E91F22" w:rsidRPr="00DC7A8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2021 – 1.</w:t>
            </w:r>
          </w:p>
        </w:tc>
      </w:tr>
      <w:tr w:rsidR="00E91F22" w:rsidRPr="000968FC" w:rsidTr="008C33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DC7A8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DC7A8C">
              <w:rPr>
                <w:rFonts w:ascii="Times New Roman" w:eastAsia="SimSun" w:hAnsi="Times New Roman"/>
                <w:kern w:val="3"/>
              </w:rPr>
              <w:t xml:space="preserve"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</w:t>
            </w:r>
            <w:r w:rsidRPr="00DC7A8C">
              <w:rPr>
                <w:rFonts w:ascii="Times New Roman" w:eastAsia="SimSun" w:hAnsi="Times New Roman"/>
                <w:kern w:val="3"/>
              </w:rPr>
              <w:lastRenderedPageBreak/>
              <w:t>законодательства (указывается количество служащих и работников учреждений и предприятий по годам до 01.01.2022 года)</w:t>
            </w: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01.01.2022</w:t>
            </w: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правового 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E91F22" w:rsidRPr="000968FC" w:rsidRDefault="00E91F22" w:rsidP="008C3300"/>
        </w:tc>
        <w:tc>
          <w:tcPr>
            <w:tcW w:w="19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1F2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 xml:space="preserve">2019 – 1, </w:t>
            </w:r>
          </w:p>
          <w:p w:rsidR="00E91F22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 xml:space="preserve">2020 – 1, </w:t>
            </w:r>
          </w:p>
          <w:p w:rsidR="00E91F22" w:rsidRPr="000968FC" w:rsidRDefault="00E91F22" w:rsidP="008C3300">
            <w:r w:rsidRPr="00DC7A8C">
              <w:rPr>
                <w:rFonts w:ascii="Times New Roman" w:hAnsi="Times New Roman"/>
                <w:sz w:val="24"/>
                <w:szCs w:val="24"/>
              </w:rPr>
              <w:t>2021 – 1.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1F22" w:rsidRPr="000968FC" w:rsidRDefault="00E91F22" w:rsidP="008C3300"/>
        </w:tc>
        <w:tc>
          <w:tcPr>
            <w:tcW w:w="6270" w:type="dxa"/>
            <w:tcBorders>
              <w:bottom w:val="nil"/>
            </w:tcBorders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Повышение информационной открытости деятельности органов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местного самоуправления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01.01.2022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E91F22" w:rsidRPr="000968FC" w:rsidRDefault="00E91F22" w:rsidP="008C3300"/>
        </w:tc>
        <w:tc>
          <w:tcPr>
            <w:tcW w:w="1935" w:type="dxa"/>
            <w:gridSpan w:val="7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Создание на сайте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01.01.2022</w:t>
            </w:r>
          </w:p>
        </w:tc>
        <w:tc>
          <w:tcPr>
            <w:tcW w:w="2604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тдел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информационного обеспечения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, отдел по экономическому планированию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E91F22" w:rsidRPr="00DC7A8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1F22" w:rsidRPr="000968FC" w:rsidTr="008C3300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Осуществление взаимодействия с органами местного самоуправления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сельских поселений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по содействию развити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конкуренции в 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ОМСУ</w:t>
            </w: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МО 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E91F22" w:rsidRPr="000968FC" w:rsidRDefault="00E91F22" w:rsidP="008C3300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91F22" w:rsidRPr="000968FC" w:rsidRDefault="00E91F22" w:rsidP="008C3300"/>
        </w:tc>
      </w:tr>
      <w:tr w:rsidR="00E91F22" w:rsidTr="008C33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5"/>
          <w:wBefore w:w="8897" w:type="dxa"/>
          <w:wAfter w:w="7695" w:type="dxa"/>
          <w:trHeight w:val="100"/>
        </w:trPr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E91F22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</w:tbl>
    <w:p w:rsidR="00E91F22" w:rsidRDefault="00E91F22" w:rsidP="00E91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E91F22" w:rsidRPr="000968FC" w:rsidRDefault="00E91F22" w:rsidP="00E91F22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9B097F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</w:rPr>
        <w:lastRenderedPageBreak/>
        <w:t>5.2. Мероприятия в отдельных отраслях (сферах) экономики в Большеулуйском районе</w:t>
      </w:r>
    </w:p>
    <w:tbl>
      <w:tblPr>
        <w:tblStyle w:val="12"/>
        <w:tblW w:w="20415" w:type="dxa"/>
        <w:tblLook w:val="04A0"/>
      </w:tblPr>
      <w:tblGrid>
        <w:gridCol w:w="786"/>
        <w:gridCol w:w="4629"/>
        <w:gridCol w:w="1772"/>
        <w:gridCol w:w="2097"/>
        <w:gridCol w:w="1703"/>
        <w:gridCol w:w="15"/>
        <w:gridCol w:w="2055"/>
        <w:gridCol w:w="1896"/>
        <w:gridCol w:w="18"/>
        <w:gridCol w:w="5444"/>
      </w:tblGrid>
      <w:tr w:rsidR="00E91F22" w:rsidRPr="000968FC" w:rsidTr="008C3300">
        <w:trPr>
          <w:gridAfter w:val="1"/>
          <w:wAfter w:w="5444" w:type="dxa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Наименование мероприятия</w:t>
            </w:r>
          </w:p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ис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полнения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91F22" w:rsidRPr="000968FC" w:rsidRDefault="00E91F22" w:rsidP="008C3300"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Ответственные и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сполнители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E91F22" w:rsidRPr="000968FC" w:rsidRDefault="00E91F22" w:rsidP="008C3300">
            <w:r w:rsidRPr="00563719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/>
        </w:tc>
        <w:tc>
          <w:tcPr>
            <w:tcW w:w="2055" w:type="dxa"/>
            <w:vMerge w:val="restart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Отдел по экономическому планированию </w:t>
            </w:r>
          </w:p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E91F22" w:rsidRPr="000968FC" w:rsidRDefault="00E91F22" w:rsidP="008C3300"/>
        </w:tc>
        <w:tc>
          <w:tcPr>
            <w:tcW w:w="1914" w:type="dxa"/>
            <w:gridSpan w:val="2"/>
            <w:vMerge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/>
        </w:tc>
        <w:tc>
          <w:tcPr>
            <w:tcW w:w="2055" w:type="dxa"/>
            <w:vMerge w:val="restart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Содействие в устранени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 xml:space="preserve"> технологического отставания в части развития систем централизованного теплоснабжения, стимулирование внедрения современных технологий в сфере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E91F22" w:rsidRPr="000968FC" w:rsidRDefault="00E91F22" w:rsidP="008C3300"/>
        </w:tc>
        <w:tc>
          <w:tcPr>
            <w:tcW w:w="1914" w:type="dxa"/>
            <w:gridSpan w:val="2"/>
            <w:vMerge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/>
        </w:tc>
        <w:tc>
          <w:tcPr>
            <w:tcW w:w="2055" w:type="dxa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/>
        </w:tc>
        <w:tc>
          <w:tcPr>
            <w:tcW w:w="1914" w:type="dxa"/>
            <w:gridSpan w:val="2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 коммунальных отходов с целью предупреждения и пресечения </w:t>
            </w:r>
            <w:proofErr w:type="spellStart"/>
            <w:r w:rsidRPr="000968FC">
              <w:rPr>
                <w:rFonts w:ascii="Times New Roman" w:hAnsi="Times New Roman"/>
                <w:sz w:val="24"/>
                <w:szCs w:val="24"/>
              </w:rPr>
              <w:t>антиконкурентных</w:t>
            </w:r>
            <w:proofErr w:type="spellEnd"/>
            <w:r w:rsidRPr="0009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 xml:space="preserve">действий и </w:t>
            </w:r>
            <w:proofErr w:type="gramStart"/>
            <w:r w:rsidRPr="000968FC">
              <w:rPr>
                <w:rFonts w:ascii="Times New Roman" w:hAnsi="Times New Roman"/>
                <w:sz w:val="24"/>
                <w:szCs w:val="24"/>
              </w:rPr>
              <w:lastRenderedPageBreak/>
              <w:t>злоупотреблении</w:t>
            </w:r>
            <w:proofErr w:type="gramEnd"/>
            <w:r w:rsidRPr="000968FC">
              <w:rPr>
                <w:rFonts w:ascii="Times New Roman" w:hAnsi="Times New Roman"/>
                <w:sz w:val="24"/>
                <w:szCs w:val="24"/>
              </w:rPr>
              <w:t xml:space="preserve"> доминирующим положением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Мониторинг развития конкуренции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E91F22" w:rsidRPr="000968FC" w:rsidRDefault="00E91F22" w:rsidP="008C3300"/>
        </w:tc>
        <w:tc>
          <w:tcPr>
            <w:tcW w:w="1914" w:type="dxa"/>
            <w:gridSpan w:val="2"/>
            <w:vMerge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Розничная продажа нефтепродуктов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91F22" w:rsidRPr="000968FC" w:rsidRDefault="00E91F22" w:rsidP="008C3300"/>
        </w:tc>
        <w:tc>
          <w:tcPr>
            <w:tcW w:w="2055" w:type="dxa"/>
            <w:vMerge w:val="restart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экономическому планированию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E91F22" w:rsidRPr="000968FC" w:rsidRDefault="00E91F22" w:rsidP="008C3300"/>
        </w:tc>
        <w:tc>
          <w:tcPr>
            <w:tcW w:w="5444" w:type="dxa"/>
            <w:vMerge w:val="restart"/>
            <w:tcBorders>
              <w:top w:val="nil"/>
            </w:tcBorders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22" w:rsidRPr="000968F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 xml:space="preserve">Мониторинг структуры рынка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 xml:space="preserve"> нефтепродуктов в МО </w:t>
            </w:r>
            <w:r>
              <w:rPr>
                <w:rFonts w:ascii="Times New Roman" w:hAnsi="Times New Roman"/>
                <w:sz w:val="24"/>
                <w:szCs w:val="24"/>
              </w:rPr>
              <w:t>Большеулуйский район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F22" w:rsidRDefault="00E91F22" w:rsidP="008C3300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E91F22" w:rsidRPr="000968FC" w:rsidRDefault="00E91F22" w:rsidP="008C3300"/>
        </w:tc>
        <w:tc>
          <w:tcPr>
            <w:tcW w:w="1914" w:type="dxa"/>
            <w:gridSpan w:val="2"/>
            <w:vMerge/>
            <w:tcBorders>
              <w:top w:val="nil"/>
            </w:tcBorders>
            <w:shd w:val="clear" w:color="auto" w:fill="auto"/>
          </w:tcPr>
          <w:p w:rsidR="00E91F22" w:rsidRPr="000968FC" w:rsidRDefault="00E91F22" w:rsidP="008C3300"/>
        </w:tc>
        <w:tc>
          <w:tcPr>
            <w:tcW w:w="5444" w:type="dxa"/>
            <w:vMerge/>
            <w:tcBorders>
              <w:top w:val="nil"/>
            </w:tcBorders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Услуги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91F22" w:rsidRPr="000968FC" w:rsidRDefault="00E91F22" w:rsidP="008C3300"/>
        </w:tc>
        <w:tc>
          <w:tcPr>
            <w:tcW w:w="2070" w:type="dxa"/>
            <w:gridSpan w:val="2"/>
            <w:shd w:val="clear" w:color="auto" w:fill="auto"/>
          </w:tcPr>
          <w:p w:rsidR="00E91F22" w:rsidRPr="000968FC" w:rsidRDefault="00E91F22" w:rsidP="008C3300"/>
        </w:tc>
        <w:tc>
          <w:tcPr>
            <w:tcW w:w="1896" w:type="dxa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F22" w:rsidRPr="000968FC" w:rsidRDefault="00E91F22" w:rsidP="008C3300"/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872761" w:rsidRDefault="00E91F22" w:rsidP="008C330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872761" w:rsidRDefault="00E91F22" w:rsidP="008C330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727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91F22" w:rsidRPr="000968FC" w:rsidRDefault="00E91F22" w:rsidP="008C3300"/>
        </w:tc>
        <w:tc>
          <w:tcPr>
            <w:tcW w:w="2070" w:type="dxa"/>
            <w:gridSpan w:val="2"/>
            <w:shd w:val="clear" w:color="auto" w:fill="auto"/>
          </w:tcPr>
          <w:p w:rsidR="00E91F22" w:rsidRPr="000968FC" w:rsidRDefault="00E91F22" w:rsidP="008C3300"/>
        </w:tc>
        <w:tc>
          <w:tcPr>
            <w:tcW w:w="1896" w:type="dxa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Default="00E91F22" w:rsidP="008C3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древесины и производства изделий из дерева</w:t>
            </w:r>
          </w:p>
          <w:p w:rsidR="00E91F22" w:rsidRPr="000968FC" w:rsidRDefault="00E91F22" w:rsidP="008C33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9B097F" w:rsidRDefault="00E91F22" w:rsidP="008C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экономическому планированию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6" w:type="dxa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91F22" w:rsidRPr="000968FC" w:rsidRDefault="00E91F22" w:rsidP="008C3300"/>
        </w:tc>
        <w:tc>
          <w:tcPr>
            <w:tcW w:w="2070" w:type="dxa"/>
            <w:gridSpan w:val="2"/>
            <w:shd w:val="clear" w:color="auto" w:fill="auto"/>
          </w:tcPr>
          <w:p w:rsidR="00E91F22" w:rsidRPr="000968FC" w:rsidRDefault="00E91F22" w:rsidP="008C3300"/>
        </w:tc>
        <w:tc>
          <w:tcPr>
            <w:tcW w:w="1896" w:type="dxa"/>
            <w:shd w:val="clear" w:color="auto" w:fill="auto"/>
          </w:tcPr>
          <w:p w:rsidR="00E91F22" w:rsidRPr="000968FC" w:rsidRDefault="00E91F22" w:rsidP="008C3300"/>
        </w:tc>
      </w:tr>
      <w:tr w:rsidR="00E91F22" w:rsidRPr="000968FC" w:rsidTr="008C3300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22" w:rsidRPr="000968FC" w:rsidRDefault="00E91F22" w:rsidP="008C3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Default="00E91F22" w:rsidP="008C3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ремонта </w:t>
            </w:r>
            <w:r w:rsidRPr="000968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автотранспортных средств</w:t>
            </w:r>
          </w:p>
          <w:p w:rsidR="00E91F22" w:rsidRPr="000968FC" w:rsidRDefault="00E91F22" w:rsidP="008C3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91F22" w:rsidRPr="000968FC" w:rsidRDefault="00E91F22" w:rsidP="008C33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91F22" w:rsidRPr="000968FC" w:rsidRDefault="00E91F22" w:rsidP="008C3300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91F22" w:rsidRPr="000968FC" w:rsidRDefault="00E91F22" w:rsidP="008C3300"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района</w:t>
            </w:r>
          </w:p>
        </w:tc>
        <w:tc>
          <w:tcPr>
            <w:tcW w:w="1896" w:type="dxa"/>
            <w:shd w:val="clear" w:color="auto" w:fill="auto"/>
          </w:tcPr>
          <w:p w:rsidR="00E91F22" w:rsidRPr="000968FC" w:rsidRDefault="00E91F22" w:rsidP="008C3300"/>
        </w:tc>
      </w:tr>
    </w:tbl>
    <w:p w:rsidR="00E91F22" w:rsidRDefault="00E91F22" w:rsidP="005F32FF"/>
    <w:sectPr w:rsidR="00E91F22" w:rsidSect="00E91F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590557"/>
      <w:docPartObj>
        <w:docPartGallery w:val="Page Numbers (Bottom of Page)"/>
        <w:docPartUnique/>
      </w:docPartObj>
    </w:sdtPr>
    <w:sdtEndPr/>
    <w:sdtContent>
      <w:p w:rsidR="00040FB8" w:rsidRDefault="00E91F22">
        <w:pPr>
          <w:pStyle w:val="ab"/>
          <w:jc w:val="right"/>
        </w:pPr>
      </w:p>
      <w:p w:rsidR="00040FB8" w:rsidRDefault="00E91F22">
        <w:pPr>
          <w:pStyle w:val="ab"/>
          <w:jc w:val="right"/>
        </w:pPr>
      </w:p>
    </w:sdtContent>
  </w:sdt>
  <w:p w:rsidR="00040FB8" w:rsidRDefault="00E91F22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2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0F0ACF"/>
    <w:multiLevelType w:val="hybridMultilevel"/>
    <w:tmpl w:val="BCF8F796"/>
    <w:lvl w:ilvl="0" w:tplc="4FC6B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2244AD"/>
    <w:multiLevelType w:val="hybridMultilevel"/>
    <w:tmpl w:val="ADECDF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05003"/>
    <w:multiLevelType w:val="hybridMultilevel"/>
    <w:tmpl w:val="8AE4B7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2FF"/>
    <w:rsid w:val="000052B5"/>
    <w:rsid w:val="00014003"/>
    <w:rsid w:val="000C2D0F"/>
    <w:rsid w:val="00194ACF"/>
    <w:rsid w:val="001B3894"/>
    <w:rsid w:val="002F77EF"/>
    <w:rsid w:val="0031179B"/>
    <w:rsid w:val="003357A1"/>
    <w:rsid w:val="003B09A6"/>
    <w:rsid w:val="0045136A"/>
    <w:rsid w:val="004A5FAF"/>
    <w:rsid w:val="00594970"/>
    <w:rsid w:val="005F32FF"/>
    <w:rsid w:val="006B3F79"/>
    <w:rsid w:val="006F2645"/>
    <w:rsid w:val="00724A07"/>
    <w:rsid w:val="00795BCB"/>
    <w:rsid w:val="007D2E98"/>
    <w:rsid w:val="00844BBD"/>
    <w:rsid w:val="00873D5F"/>
    <w:rsid w:val="00894D61"/>
    <w:rsid w:val="008C796F"/>
    <w:rsid w:val="00923CFD"/>
    <w:rsid w:val="009642D0"/>
    <w:rsid w:val="00984DD1"/>
    <w:rsid w:val="0099136F"/>
    <w:rsid w:val="0099291A"/>
    <w:rsid w:val="009C2292"/>
    <w:rsid w:val="00A70EA7"/>
    <w:rsid w:val="00A80D44"/>
    <w:rsid w:val="00A96168"/>
    <w:rsid w:val="00AB5DBF"/>
    <w:rsid w:val="00AC0409"/>
    <w:rsid w:val="00B165CA"/>
    <w:rsid w:val="00BA66D6"/>
    <w:rsid w:val="00C518EE"/>
    <w:rsid w:val="00C94319"/>
    <w:rsid w:val="00CA1F67"/>
    <w:rsid w:val="00CE206B"/>
    <w:rsid w:val="00D16595"/>
    <w:rsid w:val="00D64661"/>
    <w:rsid w:val="00D958DA"/>
    <w:rsid w:val="00DA1CB3"/>
    <w:rsid w:val="00DD0C00"/>
    <w:rsid w:val="00DF5AA6"/>
    <w:rsid w:val="00E91F22"/>
    <w:rsid w:val="00EE5CC0"/>
    <w:rsid w:val="00F21CF3"/>
    <w:rsid w:val="00F54F11"/>
    <w:rsid w:val="00F55D28"/>
    <w:rsid w:val="00F70822"/>
    <w:rsid w:val="00F82CDC"/>
    <w:rsid w:val="00F92D8A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1F2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1F22"/>
    <w:pPr>
      <w:keepNext/>
      <w:spacing w:after="0" w:line="240" w:lineRule="auto"/>
      <w:outlineLvl w:val="2"/>
    </w:pPr>
    <w:rPr>
      <w:rFonts w:ascii="Times New Roman" w:hAnsi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91F22"/>
    <w:pPr>
      <w:keepNext/>
      <w:spacing w:after="0" w:line="240" w:lineRule="auto"/>
      <w:outlineLvl w:val="3"/>
    </w:pPr>
    <w:rPr>
      <w:rFonts w:ascii="Times New Roman" w:hAnsi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F54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4A5F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1F2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1F2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1F2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E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1F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1F22"/>
  </w:style>
  <w:style w:type="paragraph" w:styleId="ab">
    <w:name w:val="footer"/>
    <w:basedOn w:val="a"/>
    <w:link w:val="ac"/>
    <w:uiPriority w:val="99"/>
    <w:unhideWhenUsed/>
    <w:rsid w:val="00E91F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1F22"/>
  </w:style>
  <w:style w:type="numbering" w:customStyle="1" w:styleId="11">
    <w:name w:val="Нет списка1"/>
    <w:next w:val="a2"/>
    <w:uiPriority w:val="99"/>
    <w:semiHidden/>
    <w:unhideWhenUsed/>
    <w:rsid w:val="00E91F22"/>
  </w:style>
  <w:style w:type="character" w:styleId="ad">
    <w:name w:val="FollowedHyperlink"/>
    <w:basedOn w:val="a0"/>
    <w:uiPriority w:val="99"/>
    <w:semiHidden/>
    <w:unhideWhenUsed/>
    <w:rsid w:val="00E91F22"/>
    <w:rPr>
      <w:color w:val="800080" w:themeColor="followedHyperlink"/>
      <w:u w:val="single"/>
    </w:rPr>
  </w:style>
  <w:style w:type="paragraph" w:customStyle="1" w:styleId="ae">
    <w:name w:val="Знак Знак Знак Знак Знак Знак Знак Знак Знак Знак"/>
    <w:basedOn w:val="a"/>
    <w:rsid w:val="00E91F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91F22"/>
  </w:style>
  <w:style w:type="table" w:customStyle="1" w:styleId="20">
    <w:name w:val="Сетка таблицы2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91F22"/>
  </w:style>
  <w:style w:type="table" w:customStyle="1" w:styleId="111">
    <w:name w:val="Сетка таблицы11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qFormat/>
    <w:rsid w:val="00E91F22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hAnsi="Times New Roman"/>
      <w:b/>
      <w:sz w:val="20"/>
      <w:szCs w:val="24"/>
    </w:rPr>
  </w:style>
  <w:style w:type="character" w:customStyle="1" w:styleId="af0">
    <w:name w:val="Таблица_шапка Знак"/>
    <w:link w:val="af"/>
    <w:locked/>
    <w:rsid w:val="00E91F2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E91F22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E91F2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b/>
      <w:i/>
      <w:color w:val="000000"/>
      <w:lang w:eastAsia="en-US"/>
    </w:rPr>
  </w:style>
  <w:style w:type="character" w:customStyle="1" w:styleId="af3">
    <w:name w:val="таблица Знак"/>
    <w:link w:val="af4"/>
    <w:locked/>
    <w:rsid w:val="00E91F22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E91F2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color w:val="000000"/>
      <w:lang w:eastAsia="en-US"/>
    </w:rPr>
  </w:style>
  <w:style w:type="paragraph" w:styleId="af5">
    <w:name w:val="Normal (Web)"/>
    <w:basedOn w:val="a"/>
    <w:uiPriority w:val="99"/>
    <w:unhideWhenUsed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Таблица_осн"/>
    <w:basedOn w:val="af4"/>
    <w:link w:val="af7"/>
    <w:qFormat/>
    <w:rsid w:val="00E91F22"/>
    <w:pPr>
      <w:keepLines/>
      <w:widowControl w:val="0"/>
    </w:pPr>
  </w:style>
  <w:style w:type="character" w:customStyle="1" w:styleId="af7">
    <w:name w:val="Таблица_осн Знак"/>
    <w:link w:val="af6"/>
    <w:locked/>
    <w:rsid w:val="00E91F22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E91F22"/>
    <w:pPr>
      <w:keepNext/>
      <w:spacing w:after="0" w:line="240" w:lineRule="auto"/>
      <w:jc w:val="both"/>
    </w:pPr>
    <w:rPr>
      <w:rFonts w:ascii="Times New Roman" w:hAnsi="Times New Roman"/>
      <w:b/>
      <w:bCs/>
      <w:sz w:val="24"/>
      <w:szCs w:val="18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E91F2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E91F22"/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E91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91F22"/>
  </w:style>
  <w:style w:type="paragraph" w:customStyle="1" w:styleId="msonormal0">
    <w:name w:val="msonormal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1F2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2">
    <w:name w:val="xl82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1F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E91F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E91F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E91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E91F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E91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E91F2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E91F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1F2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0">
    <w:name w:val="xl100"/>
    <w:basedOn w:val="a"/>
    <w:rsid w:val="00E9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101">
    <w:name w:val="xl101"/>
    <w:basedOn w:val="a"/>
    <w:rsid w:val="00E91F2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91F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E91F2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E91F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E91F2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E91F2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E91F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E91F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E91F2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E91F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E91F22"/>
    <w:pPr>
      <w:spacing w:before="100" w:beforeAutospacing="1" w:after="100" w:afterAutospacing="1" w:line="240" w:lineRule="auto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7771</Words>
  <Characters>44297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1</cp:lastModifiedBy>
  <cp:revision>3</cp:revision>
  <cp:lastPrinted>2019-09-18T04:51:00Z</cp:lastPrinted>
  <dcterms:created xsi:type="dcterms:W3CDTF">2020-01-30T03:23:00Z</dcterms:created>
  <dcterms:modified xsi:type="dcterms:W3CDTF">2020-01-30T03:28:00Z</dcterms:modified>
</cp:coreProperties>
</file>