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ind/>
        <w:jc w:val="center"/>
        <w:rPr>
          <w:b w:val="1"/>
          <w:sz w:val="28"/>
        </w:rPr>
      </w:pPr>
    </w:p>
    <w:p w14:paraId="02000000">
      <w:pPr>
        <w:ind w:firstLine="540"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 xml:space="preserve"> </w:t>
      </w:r>
      <w:r>
        <w:rPr>
          <w:b w:val="1"/>
          <w:sz w:val="28"/>
        </w:rPr>
        <w:t>С</w:t>
      </w:r>
      <w:r>
        <w:rPr>
          <w:b w:val="1"/>
          <w:sz w:val="28"/>
        </w:rPr>
        <w:t xml:space="preserve">ервис </w:t>
      </w:r>
      <w:r>
        <w:rPr>
          <w:b w:val="1"/>
          <w:sz w:val="28"/>
        </w:rPr>
        <w:t xml:space="preserve">«Личный кабинет </w:t>
      </w:r>
      <w:r>
        <w:rPr>
          <w:b w:val="1"/>
          <w:sz w:val="28"/>
        </w:rPr>
        <w:t xml:space="preserve">налогоплательщика </w:t>
      </w:r>
    </w:p>
    <w:p w14:paraId="03000000">
      <w:pPr>
        <w:ind w:firstLine="540"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индивидуального предпринимателя»</w:t>
      </w:r>
      <w:r>
        <w:rPr>
          <w:b w:val="1"/>
          <w:sz w:val="28"/>
        </w:rPr>
        <w:t xml:space="preserve"> расширяет возможности предпринимател</w:t>
      </w:r>
      <w:r>
        <w:rPr>
          <w:b w:val="1"/>
          <w:sz w:val="28"/>
        </w:rPr>
        <w:t>я</w:t>
      </w:r>
      <w:r>
        <w:rPr>
          <w:b w:val="1"/>
          <w:sz w:val="28"/>
        </w:rPr>
        <w:t xml:space="preserve"> по взаимодействию с налоговы</w:t>
      </w:r>
      <w:r>
        <w:rPr>
          <w:b w:val="1"/>
          <w:sz w:val="28"/>
        </w:rPr>
        <w:t>м</w:t>
      </w:r>
      <w:r>
        <w:rPr>
          <w:b w:val="1"/>
          <w:sz w:val="28"/>
        </w:rPr>
        <w:t xml:space="preserve"> орган</w:t>
      </w:r>
      <w:r>
        <w:rPr>
          <w:b w:val="1"/>
          <w:sz w:val="28"/>
        </w:rPr>
        <w:t>ом</w:t>
      </w:r>
    </w:p>
    <w:p w14:paraId="04000000">
      <w:pPr>
        <w:ind w:firstLine="540"/>
        <w:jc w:val="center"/>
        <w:outlineLvl w:val="0"/>
        <w:rPr>
          <w:b w:val="1"/>
          <w:sz w:val="28"/>
        </w:rPr>
      </w:pPr>
    </w:p>
    <w:p w14:paraId="05000000">
      <w:pPr>
        <w:ind/>
        <w:jc w:val="both"/>
        <w:outlineLvl w:val="0"/>
      </w:pPr>
      <w:r>
        <w:t>На сайте Федеральной налоговой службы (</w:t>
      </w:r>
      <w:r>
        <w:rPr>
          <w:rStyle w:val="Style_1_ch"/>
        </w:rPr>
        <w:fldChar w:fldCharType="begin"/>
      </w:r>
      <w:r>
        <w:rPr>
          <w:rStyle w:val="Style_1_ch"/>
        </w:rPr>
        <w:instrText>HYPERLINK "http://www.nalog.ru"</w:instrText>
      </w:r>
      <w:r>
        <w:rPr>
          <w:rStyle w:val="Style_1_ch"/>
        </w:rPr>
        <w:fldChar w:fldCharType="separate"/>
      </w:r>
      <w:r>
        <w:rPr>
          <w:rStyle w:val="Style_1_ch"/>
        </w:rPr>
        <w:t>www.nalog.ru</w:t>
      </w:r>
      <w:r>
        <w:rPr>
          <w:rStyle w:val="Style_1_ch"/>
        </w:rPr>
        <w:fldChar w:fldCharType="end"/>
      </w:r>
      <w:r>
        <w:t xml:space="preserve">) работает Интернет-сервис «Личный кабинет налогоплательщика индивидуального предпринимателя». </w:t>
      </w:r>
    </w:p>
    <w:p w14:paraId="06000000">
      <w:pPr>
        <w:ind w:firstLine="540"/>
        <w:jc w:val="both"/>
        <w:outlineLvl w:val="0"/>
      </w:pPr>
    </w:p>
    <w:p w14:paraId="07000000">
      <w:pPr>
        <w:ind/>
        <w:jc w:val="both"/>
      </w:pPr>
      <w:r>
        <w:t xml:space="preserve">Сервис расширяет возможности предпринимателей по взаимодействию с налоговыми органами при открытии и ведении собственного бизнеса. </w:t>
      </w:r>
    </w:p>
    <w:p w14:paraId="08000000">
      <w:pPr>
        <w:ind/>
        <w:jc w:val="both"/>
      </w:pPr>
    </w:p>
    <w:p w14:paraId="09000000">
      <w:pPr>
        <w:ind/>
        <w:jc w:val="both"/>
      </w:pPr>
      <w:r>
        <w:t xml:space="preserve">Новый сервис проектировался с учетом потребностей предпринимателей и их уровня финансовой и налоговой грамотности. На основе масштабного опроса представителей малого и среднего бизнеса, специалистами ФНС России был создан интуитивный интерфейс, который поможет предпринимателям самостоятельно, без помощи профессионального бухгалтера и юриста взаимодействовать с налоговым органом. </w:t>
      </w:r>
    </w:p>
    <w:p w14:paraId="0A000000">
      <w:pPr>
        <w:ind/>
        <w:jc w:val="both"/>
      </w:pPr>
    </w:p>
    <w:p w14:paraId="0B000000">
      <w:pPr>
        <w:ind/>
        <w:jc w:val="both"/>
      </w:pPr>
      <w:r>
        <w:t>Сервис «Личный кабинет налогоплательщика — индивидуального предпринимателя» имеет широкий функционал. В частности, с помощью налогового калькулятора предприниматель может рассчитать и выбрать наиболее оптимальный режим налогообложения.</w:t>
      </w:r>
    </w:p>
    <w:p w14:paraId="0C000000">
      <w:pPr>
        <w:ind/>
        <w:jc w:val="both"/>
      </w:pPr>
    </w:p>
    <w:p w14:paraId="0D000000">
      <w:pPr>
        <w:ind/>
        <w:jc w:val="both"/>
        <w:rPr>
          <w:b w:val="1"/>
        </w:rPr>
      </w:pPr>
      <w:r>
        <w:rPr>
          <w:b w:val="1"/>
        </w:rPr>
        <w:t>Сервис позволяет индивидуальному предпринимателю:</w:t>
      </w:r>
    </w:p>
    <w:p w14:paraId="0E000000">
      <w:pPr>
        <w:ind/>
        <w:jc w:val="both"/>
      </w:pPr>
    </w:p>
    <w:p w14:paraId="0F000000">
      <w:pPr>
        <w:numPr>
          <w:ilvl w:val="0"/>
          <w:numId w:val="1"/>
        </w:numPr>
        <w:ind/>
        <w:jc w:val="both"/>
      </w:pPr>
      <w:r>
        <w:t>получать актуальную информацию о задолженности по налогам перед бюджетом, суммах начисленных и уплаченных налоговых платежей, наличии переплат, невыясненных платежей, об исполненных налоговым органом решениях о зачете и возврате излишне уплаченных (излишне взысканных) сумм, о принятых решениях об уточнении платежа, об урегулированной задолженности, о неисполненных налогоплательщиком требованиях на уплату налога и других обязательных платежей, мерах принудительного взыскания задолженности;</w:t>
      </w:r>
    </w:p>
    <w:p w14:paraId="10000000">
      <w:pPr>
        <w:numPr>
          <w:ilvl w:val="0"/>
          <w:numId w:val="1"/>
        </w:numPr>
        <w:ind/>
        <w:jc w:val="both"/>
      </w:pPr>
      <w:r>
        <w:t>с помощью налогового калькулятора рассчитать и выбрать оптимальный режим налогообложения;</w:t>
      </w:r>
    </w:p>
    <w:p w14:paraId="11000000">
      <w:pPr>
        <w:numPr>
          <w:ilvl w:val="0"/>
          <w:numId w:val="1"/>
        </w:numPr>
        <w:ind/>
        <w:jc w:val="both"/>
      </w:pPr>
      <w:r>
        <w:t>получать сведения из ЕГРИП, сообщать об участии в российских и иностранных организациях;</w:t>
      </w:r>
    </w:p>
    <w:p w14:paraId="12000000">
      <w:pPr>
        <w:numPr>
          <w:ilvl w:val="0"/>
          <w:numId w:val="1"/>
        </w:numPr>
        <w:ind/>
        <w:jc w:val="both"/>
      </w:pPr>
      <w:r>
        <w:t>обращаться в налоговый орган, подавать заявления о прекращении деятельности в качестве ИП, отслеживать информацию о прохождении своих документов и многое другое.</w:t>
      </w:r>
    </w:p>
    <w:p w14:paraId="13000000">
      <w:pPr>
        <w:ind/>
        <w:jc w:val="both"/>
      </w:pPr>
    </w:p>
    <w:p w14:paraId="14000000">
      <w:pPr>
        <w:ind/>
        <w:jc w:val="both"/>
        <w:rPr>
          <w:b w:val="1"/>
          <w:u w:val="single"/>
        </w:rPr>
      </w:pPr>
      <w:r>
        <w:rPr>
          <w:b w:val="1"/>
        </w:rPr>
        <w:t>Подключиться к сервису можно двумя способами:</w:t>
      </w:r>
    </w:p>
    <w:p w14:paraId="15000000">
      <w:pPr>
        <w:ind/>
        <w:jc w:val="both"/>
        <w:rPr>
          <w:b w:val="1"/>
          <w:u w:val="single"/>
        </w:rPr>
      </w:pPr>
      <w:r>
        <w:rPr>
          <w:b w:val="1"/>
          <w:u w:val="single"/>
        </w:rPr>
        <w:t xml:space="preserve"> </w:t>
      </w:r>
    </w:p>
    <w:p w14:paraId="16000000">
      <w:pPr>
        <w:ind/>
        <w:jc w:val="both"/>
      </w:pPr>
      <w:r>
        <w:rPr>
          <w:b w:val="1"/>
          <w:u w:val="single"/>
        </w:rPr>
        <w:t>1:</w:t>
      </w:r>
      <w:r>
        <w:t xml:space="preserve"> </w:t>
      </w:r>
      <w:r>
        <w:t>по аналогии с юридическими лицами с помощью сертификата ключа подписи, ранее выданного удостоверяющим центром и применяемого для представления налоговой и бухгалтерской отчетности в электронном виде</w:t>
      </w:r>
      <w:r>
        <w:t>;</w:t>
      </w:r>
      <w:r>
        <w:t xml:space="preserve"> </w:t>
      </w:r>
    </w:p>
    <w:p w14:paraId="17000000">
      <w:pPr>
        <w:ind/>
        <w:jc w:val="both"/>
      </w:pPr>
      <w:r>
        <w:rPr>
          <w:b w:val="1"/>
          <w:u w:val="single"/>
        </w:rPr>
        <w:t>2:</w:t>
      </w:r>
      <w:r>
        <w:t xml:space="preserve"> </w:t>
      </w:r>
      <w:r>
        <w:t xml:space="preserve">используя логин и пароль от сервиса «Личный кабинет налогоплательщика для физических лиц». </w:t>
      </w:r>
    </w:p>
    <w:p w14:paraId="18000000">
      <w:pPr>
        <w:ind/>
        <w:jc w:val="both"/>
      </w:pPr>
    </w:p>
    <w:p w14:paraId="19000000">
      <w:pPr>
        <w:ind/>
        <w:jc w:val="both"/>
        <w:rPr>
          <w:b w:val="1"/>
        </w:rPr>
      </w:pPr>
      <w:r>
        <w:rPr>
          <w:b w:val="1"/>
        </w:rPr>
        <w:t>Оба способа не требуют личного визита в инспекцию для получения реквизитов доступа.</w:t>
      </w: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 Знак"/>
    <w:basedOn w:val="Style_2"/>
    <w:link w:val="Style_6_ch"/>
    <w:pPr>
      <w:spacing w:after="160" w:line="240" w:lineRule="exact"/>
      <w:ind/>
    </w:pPr>
    <w:rPr>
      <w:rFonts w:ascii="Verdana" w:hAnsi="Verdana"/>
      <w:sz w:val="20"/>
    </w:rPr>
  </w:style>
  <w:style w:styleId="Style_6_ch" w:type="character">
    <w:name w:val=" Знак"/>
    <w:basedOn w:val="Style_2_ch"/>
    <w:link w:val="Style_6"/>
    <w:rPr>
      <w:rFonts w:ascii="Verdana" w:hAnsi="Verdana"/>
      <w:sz w:val="20"/>
    </w:rPr>
  </w:style>
  <w:style w:styleId="Style_7" w:type="paragraph">
    <w:name w:val="toc 7"/>
    <w:next w:val="Style_2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2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Абзац_рег"/>
    <w:basedOn w:val="Style_2"/>
    <w:link w:val="Style_9_ch"/>
    <w:pPr>
      <w:spacing w:after="60" w:before="60"/>
      <w:ind w:firstLine="709"/>
      <w:jc w:val="both"/>
    </w:pPr>
  </w:style>
  <w:style w:styleId="Style_9_ch" w:type="character">
    <w:name w:val="Абзац_рег"/>
    <w:basedOn w:val="Style_2_ch"/>
    <w:link w:val="Style_9"/>
  </w:style>
  <w:style w:styleId="Style_10" w:type="paragraph">
    <w:name w:val="toc 3"/>
    <w:next w:val="Style_2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Знак1"/>
    <w:basedOn w:val="Style_2"/>
    <w:link w:val="Style_11_ch"/>
    <w:pPr>
      <w:spacing w:after="160" w:before="120" w:line="240" w:lineRule="exact"/>
      <w:ind/>
      <w:jc w:val="both"/>
    </w:pPr>
    <w:rPr>
      <w:rFonts w:ascii="Verdana" w:hAnsi="Verdana"/>
      <w:sz w:val="20"/>
    </w:rPr>
  </w:style>
  <w:style w:styleId="Style_11_ch" w:type="character">
    <w:name w:val="Знак1"/>
    <w:basedOn w:val="Style_2_ch"/>
    <w:link w:val="Style_11"/>
    <w:rPr>
      <w:rFonts w:ascii="Verdana" w:hAnsi="Verdana"/>
      <w:sz w:val="20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eading 5"/>
    <w:next w:val="Style_2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14" w:type="paragraph">
    <w:name w:val="heading 1"/>
    <w:next w:val="Style_2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" w:type="paragraph">
    <w:name w:val="Hyperlink"/>
    <w:link w:val="Style_1_ch"/>
    <w:rPr>
      <w:color w:val="0000FF"/>
      <w:u w:val="single"/>
    </w:rPr>
  </w:style>
  <w:style w:styleId="Style_1_ch" w:type="character">
    <w:name w:val="Hyperlink"/>
    <w:link w:val="Style_1"/>
    <w:rPr>
      <w:color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2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2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next w:val="Style_2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2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2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2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