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54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ервис </w:t>
      </w:r>
      <w:r>
        <w:rPr>
          <w:b w:val="1"/>
          <w:sz w:val="28"/>
        </w:rPr>
        <w:t xml:space="preserve">«Личный кабинет налогоплательщика </w:t>
      </w:r>
    </w:p>
    <w:p w14:paraId="02000000">
      <w:pPr>
        <w:ind w:firstLine="54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юридического лица»</w:t>
      </w:r>
      <w:r>
        <w:rPr>
          <w:b w:val="1"/>
          <w:sz w:val="28"/>
        </w:rPr>
        <w:t xml:space="preserve"> расширяет возможности юридического лица по взаимодействию с налоговым орган</w:t>
      </w:r>
      <w:r>
        <w:rPr>
          <w:b w:val="1"/>
          <w:sz w:val="28"/>
        </w:rPr>
        <w:t>ом</w:t>
      </w:r>
    </w:p>
    <w:p w14:paraId="03000000">
      <w:pPr>
        <w:ind w:firstLine="540"/>
        <w:jc w:val="center"/>
        <w:outlineLvl w:val="0"/>
        <w:rPr>
          <w:b w:val="1"/>
          <w:sz w:val="22"/>
        </w:rPr>
      </w:pPr>
    </w:p>
    <w:p w14:paraId="04000000">
      <w:p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На сайте Федеральной налоговой службы (</w:t>
      </w:r>
      <w:r>
        <w:rPr>
          <w:rStyle w:val="Style_1_ch"/>
          <w:sz w:val="22"/>
        </w:rPr>
        <w:fldChar w:fldCharType="begin"/>
      </w:r>
      <w:r>
        <w:rPr>
          <w:rStyle w:val="Style_1_ch"/>
          <w:sz w:val="22"/>
        </w:rPr>
        <w:instrText>HYPERLINK "http://www.nalog.ru"</w:instrText>
      </w:r>
      <w:r>
        <w:rPr>
          <w:rStyle w:val="Style_1_ch"/>
          <w:sz w:val="22"/>
        </w:rPr>
        <w:fldChar w:fldCharType="separate"/>
      </w:r>
      <w:r>
        <w:rPr>
          <w:rStyle w:val="Style_1_ch"/>
          <w:sz w:val="22"/>
        </w:rPr>
        <w:t>www.nalog.ru</w:t>
      </w:r>
      <w:r>
        <w:rPr>
          <w:rStyle w:val="Style_1_ch"/>
          <w:sz w:val="22"/>
        </w:rPr>
        <w:fldChar w:fldCharType="end"/>
      </w:r>
      <w:r>
        <w:rPr>
          <w:sz w:val="22"/>
        </w:rPr>
        <w:t xml:space="preserve">) работает Интернет-сервис «Личный кабинет налогоплательщика юридического лица». </w:t>
      </w:r>
    </w:p>
    <w:p w14:paraId="05000000">
      <w:pPr>
        <w:tabs>
          <w:tab w:leader="none" w:pos="426" w:val="left"/>
        </w:tabs>
        <w:ind w:firstLine="540"/>
        <w:jc w:val="both"/>
        <w:outlineLvl w:val="0"/>
        <w:rPr>
          <w:sz w:val="22"/>
        </w:rPr>
      </w:pPr>
    </w:p>
    <w:p w14:paraId="06000000">
      <w:pPr>
        <w:tabs>
          <w:tab w:leader="none" w:pos="426" w:val="left"/>
        </w:tabs>
        <w:ind/>
        <w:jc w:val="both"/>
        <w:rPr>
          <w:b w:val="1"/>
          <w:sz w:val="22"/>
        </w:rPr>
      </w:pPr>
      <w:r>
        <w:rPr>
          <w:b w:val="1"/>
          <w:sz w:val="22"/>
        </w:rPr>
        <w:t>С</w:t>
      </w:r>
      <w:r>
        <w:rPr>
          <w:b w:val="1"/>
          <w:sz w:val="22"/>
        </w:rPr>
        <w:t>ервис «Личный кабинет налогоплательщика юридического лица» позволяет налогоплательщикам – юридическим лицам</w:t>
      </w:r>
      <w:r>
        <w:rPr>
          <w:b w:val="1"/>
          <w:sz w:val="22"/>
        </w:rPr>
        <w:t xml:space="preserve">:    </w:t>
      </w:r>
    </w:p>
    <w:p w14:paraId="07000000">
      <w:pPr>
        <w:numPr>
          <w:ilvl w:val="0"/>
          <w:numId w:val="1"/>
        </w:numPr>
        <w:tabs>
          <w:tab w:leader="none" w:pos="426" w:val="left"/>
        </w:tabs>
        <w:ind w:hanging="66" w:left="426"/>
        <w:jc w:val="both"/>
        <w:rPr>
          <w:sz w:val="22"/>
        </w:rPr>
      </w:pPr>
      <w:r>
        <w:rPr>
          <w:sz w:val="22"/>
        </w:rPr>
        <w:t>получать актуальную информацию о задолженности по налогам перед бюджетом, о суммах начисленных и уплаченных налоговых платежей, о наличии переплат, невыясненных платежей, об исполненных налоговым органом решениях на зачет и на возврат излишне уплаченных (излишне взысканных) сумм, о принятых решениях об уточнении платежа, об урегулированной задолженности, о неисполненных налогоплательщиком требованиях на уплату налога и других обязательных платежей, о мерах принудительного взыскания задолженности;</w:t>
      </w:r>
    </w:p>
    <w:p w14:paraId="08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получать выписку из ЕГРЮЛ в отношении самого себя;</w:t>
      </w:r>
    </w:p>
    <w:p w14:paraId="09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получать выписку из ЕГРН в отношении самого себя;</w:t>
      </w:r>
    </w:p>
    <w:p w14:paraId="0A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направлять запросы и получать справку о состоянии расчетов по налогам, сборам, пеням, штрафам, процентам, акт совместной сверки расчетов по налогам, сборам, пеням, штрафам, процентам;</w:t>
      </w:r>
    </w:p>
    <w:p w14:paraId="0B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направлять запрос на получение справки об исполнении обязанности по уплате налогов, сборов, пеней, штрафов, процентов;</w:t>
      </w:r>
    </w:p>
    <w:p w14:paraId="0C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составлять и направлять в налоговые органы заявления на уточнение невыясненного платежа, заявление на уточнение платежных документов, в которых налогоплательщик самостоятельно обнаружил ошибки в оформлении, заявления о зачете/возврате переплаты, заявления для инициирования сверки расчетов с бюджетом;</w:t>
      </w:r>
    </w:p>
    <w:p w14:paraId="0D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направлять в налоговый орган сообщения по форме С-09-2 об участии в российских и иностранных организациях;</w:t>
      </w:r>
    </w:p>
    <w:p w14:paraId="0E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получать услуги по постановке и снятию с учета организации по месту нахождения обособленного подразделения, внесению изменений в сведения об обособленном подразделении на основании формализованных электронных сообщений налогоплательщика по формам № С-09-3-1, С-09-3-2, 1-6-Учет, 3-Учет, в качестве налогоплательщика ЕНВД на основании заявлений по формам № ЕНВД-1, ЕНВД-3, 3-Учет;</w:t>
      </w:r>
    </w:p>
    <w:p w14:paraId="0F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направлять документы для государственной регистрации юридических лиц или внесения изменений в сведения, содержащиеся в ЕГРЮЛ, в налоговый орган для осуществления процедур государственной регистрации или внесения изменений в ЕГРЮЛ;</w:t>
      </w:r>
    </w:p>
    <w:p w14:paraId="10000000">
      <w:pPr>
        <w:numPr>
          <w:ilvl w:val="0"/>
          <w:numId w:val="1"/>
        </w:numPr>
        <w:tabs>
          <w:tab w:leader="none" w:pos="426" w:val="left"/>
        </w:tabs>
        <w:ind/>
        <w:jc w:val="both"/>
        <w:rPr>
          <w:sz w:val="22"/>
        </w:rPr>
      </w:pPr>
      <w:r>
        <w:rPr>
          <w:sz w:val="22"/>
        </w:rPr>
        <w:t>получать информацию о ходе исполнения его заявлений и запросов самостоятельно контролировать сроки оказания услуги налоговым органом, получать решения налогового органа по направлению заявлениям;</w:t>
      </w:r>
    </w:p>
    <w:p w14:paraId="11000000">
      <w:pPr>
        <w:tabs>
          <w:tab w:leader="none" w:pos="426" w:val="left"/>
        </w:tabs>
        <w:ind/>
        <w:jc w:val="both"/>
        <w:rPr>
          <w:sz w:val="22"/>
        </w:rPr>
      </w:pPr>
    </w:p>
    <w:p w14:paraId="12000000">
      <w:pPr>
        <w:pStyle w:val="Style_2"/>
        <w:tabs>
          <w:tab w:leader="none" w:pos="426" w:val="left"/>
        </w:tabs>
        <w:ind w:firstLine="0"/>
        <w:rPr>
          <w:b w:val="1"/>
          <w:sz w:val="22"/>
        </w:rPr>
      </w:pPr>
      <w:r>
        <w:rPr>
          <w:b w:val="1"/>
          <w:sz w:val="22"/>
        </w:rPr>
        <w:t>Для подключения к сервису необходимо пройти несложную процедуру регистрации, не требующую личного визита налогоплательщика в инспекцию, и подписать Соглашение о предоставлении доступа к «Личному кабинету юридического лица».</w:t>
      </w:r>
      <w:r>
        <w:rPr>
          <w:b w:val="1"/>
          <w:sz w:val="22"/>
        </w:rPr>
        <w:t xml:space="preserve"> Налогоплательщик должен получить квалифицированный сертификат ключа проверки электронной подписи (далее КСКПЭП) в удостоверяющем центре, аккредитованном в соответствии с требованиями Федерального закона от 06.04.2011 № 63-ФЗ. КСКПЭП должен быть выдан на руководителя организации или лицо, имеющее право действовать без доверенности в отношении организации. Могут быть использованы КСКПЭП, выданные для представления налоговой и бухгалтерской отчетности по телекоммуникационным каналам связи.</w:t>
      </w:r>
    </w:p>
    <w:p w14:paraId="13000000">
      <w:pPr>
        <w:ind/>
        <w:jc w:val="both"/>
        <w:rPr>
          <w:sz w:val="22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2" w:type="paragraph">
    <w:name w:val="Абзац_рег"/>
    <w:basedOn w:val="Style_3"/>
    <w:link w:val="Style_2_ch"/>
    <w:pPr>
      <w:spacing w:after="60" w:before="60"/>
      <w:ind w:firstLine="709"/>
      <w:jc w:val="both"/>
    </w:pPr>
  </w:style>
  <w:style w:styleId="Style_2_ch" w:type="character">
    <w:name w:val="Абзац_рег"/>
    <w:basedOn w:val="Style_3_ch"/>
    <w:link w:val="Style_2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Знак1"/>
    <w:basedOn w:val="Style_3"/>
    <w:link w:val="Style_11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1_ch" w:type="character">
    <w:name w:val="Знак1"/>
    <w:basedOn w:val="Style_3_ch"/>
    <w:link w:val="Style_11"/>
    <w:rPr>
      <w:rFonts w:ascii="Verdana" w:hAnsi="Verdana"/>
      <w:sz w:val="20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 Знак"/>
    <w:basedOn w:val="Style_3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 Знак"/>
    <w:basedOn w:val="Style_3_ch"/>
    <w:link w:val="Style_17"/>
    <w:rPr>
      <w:rFonts w:ascii="Verdana" w:hAnsi="Verdana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