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2" w:rsidRDefault="00986342" w:rsidP="001E0B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2930" cy="6813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14709"/>
      </w:tblGrid>
      <w:tr w:rsidR="00986342" w:rsidRPr="00986342" w:rsidTr="00986342">
        <w:trPr>
          <w:trHeight w:val="769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auto"/>
          </w:tcPr>
          <w:p w:rsidR="00986342" w:rsidRPr="00986342" w:rsidRDefault="00986342" w:rsidP="00C20F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КОНТРОЛЬНО-СЧЕТНЫЙ  ОРГАН БОЛЬШЕУЛУЙСКОГО  РАЙОНА</w:t>
            </w:r>
          </w:p>
          <w:p w:rsidR="00986342" w:rsidRPr="00986342" w:rsidRDefault="00986342" w:rsidP="0098634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4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</w:tc>
      </w:tr>
    </w:tbl>
    <w:p w:rsidR="00986342" w:rsidRPr="00986342" w:rsidRDefault="00986342" w:rsidP="00986342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</w:rPr>
      </w:pPr>
      <w:r w:rsidRPr="00986342">
        <w:rPr>
          <w:rFonts w:ascii="Times New Roman" w:hAnsi="Times New Roman" w:cs="Times New Roman"/>
          <w:bCs/>
        </w:rPr>
        <w:t>Революции ул. д.11, с. Большой Улуй, Красноярский край, 662110</w:t>
      </w:r>
    </w:p>
    <w:p w:rsidR="00986342" w:rsidRPr="00986342" w:rsidRDefault="00986342" w:rsidP="00986342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</w:rPr>
      </w:pPr>
      <w:r w:rsidRPr="00986342">
        <w:rPr>
          <w:rFonts w:ascii="Times New Roman" w:hAnsi="Times New Roman" w:cs="Times New Roman"/>
          <w:bCs/>
        </w:rPr>
        <w:t>Телефон: 8 (39159) 2-14-91</w:t>
      </w:r>
    </w:p>
    <w:tbl>
      <w:tblPr>
        <w:tblW w:w="0" w:type="auto"/>
        <w:tblLook w:val="01E0"/>
      </w:tblPr>
      <w:tblGrid>
        <w:gridCol w:w="14709"/>
      </w:tblGrid>
      <w:tr w:rsidR="00986342" w:rsidRPr="006A6BD6" w:rsidTr="00C20FAE">
        <w:tc>
          <w:tcPr>
            <w:tcW w:w="14709" w:type="dxa"/>
            <w:shd w:val="clear" w:color="auto" w:fill="auto"/>
          </w:tcPr>
          <w:p w:rsidR="00986342" w:rsidRPr="00986342" w:rsidRDefault="00986342" w:rsidP="00C20F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634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="00400946">
              <w:fldChar w:fldCharType="begin"/>
            </w:r>
            <w:r w:rsidR="00400946" w:rsidRPr="006A6BD6">
              <w:rPr>
                <w:lang w:val="en-US"/>
              </w:rPr>
              <w:instrText>HYPERLINK "mailto:ului@krasmail.ru"</w:instrText>
            </w:r>
            <w:r w:rsidR="00400946">
              <w:fldChar w:fldCharType="separate"/>
            </w:r>
            <w:r w:rsidRPr="00986342">
              <w:rPr>
                <w:rStyle w:val="a6"/>
                <w:rFonts w:ascii="Times New Roman" w:hAnsi="Times New Roman" w:cs="Times New Roman"/>
                <w:bCs/>
                <w:lang w:val="en-US"/>
              </w:rPr>
              <w:t>ksorg@mail.ru</w:t>
            </w:r>
            <w:r w:rsidR="00400946">
              <w:fldChar w:fldCharType="end"/>
            </w:r>
          </w:p>
        </w:tc>
      </w:tr>
    </w:tbl>
    <w:p w:rsidR="00986342" w:rsidRPr="00986342" w:rsidRDefault="00986342" w:rsidP="009863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lang w:val="en-US"/>
        </w:rPr>
      </w:pPr>
    </w:p>
    <w:p w:rsidR="00986342" w:rsidRPr="00986342" w:rsidRDefault="00100DF3" w:rsidP="00986342">
      <w:pPr>
        <w:tabs>
          <w:tab w:val="left" w:pos="0"/>
        </w:tabs>
        <w:jc w:val="both"/>
      </w:pPr>
      <w:r>
        <w:rPr>
          <w:rFonts w:ascii="Times New Roman" w:hAnsi="Times New Roman" w:cs="Times New Roman"/>
        </w:rPr>
        <w:t>"</w:t>
      </w:r>
      <w:r w:rsidR="001E7CCA">
        <w:rPr>
          <w:rFonts w:ascii="Times New Roman" w:hAnsi="Times New Roman" w:cs="Times New Roman"/>
        </w:rPr>
        <w:t>0</w:t>
      </w:r>
      <w:r w:rsidR="00C20FAE">
        <w:rPr>
          <w:rFonts w:ascii="Times New Roman" w:hAnsi="Times New Roman" w:cs="Times New Roman"/>
        </w:rPr>
        <w:t>5</w:t>
      </w:r>
      <w:r w:rsidR="00986342" w:rsidRPr="00986342">
        <w:rPr>
          <w:rFonts w:ascii="Times New Roman" w:hAnsi="Times New Roman" w:cs="Times New Roman"/>
        </w:rPr>
        <w:t xml:space="preserve">" </w:t>
      </w:r>
      <w:r w:rsidR="001E7CCA">
        <w:rPr>
          <w:rFonts w:ascii="Times New Roman" w:hAnsi="Times New Roman" w:cs="Times New Roman"/>
        </w:rPr>
        <w:t>ма</w:t>
      </w:r>
      <w:r w:rsidR="00C20FAE">
        <w:rPr>
          <w:rFonts w:ascii="Times New Roman" w:hAnsi="Times New Roman" w:cs="Times New Roman"/>
        </w:rPr>
        <w:t>я</w:t>
      </w:r>
      <w:r w:rsidR="00986342" w:rsidRPr="00986342">
        <w:rPr>
          <w:rFonts w:ascii="Times New Roman" w:hAnsi="Times New Roman" w:cs="Times New Roman"/>
        </w:rPr>
        <w:t xml:space="preserve">  20</w:t>
      </w:r>
      <w:r w:rsidR="00C20FAE">
        <w:rPr>
          <w:rFonts w:ascii="Times New Roman" w:hAnsi="Times New Roman" w:cs="Times New Roman"/>
        </w:rPr>
        <w:t>2</w:t>
      </w:r>
      <w:r w:rsidR="001E7CCA">
        <w:rPr>
          <w:rFonts w:ascii="Times New Roman" w:hAnsi="Times New Roman" w:cs="Times New Roman"/>
        </w:rPr>
        <w:t>2</w:t>
      </w:r>
      <w:r w:rsidR="00C20FAE">
        <w:rPr>
          <w:rFonts w:ascii="Times New Roman" w:hAnsi="Times New Roman" w:cs="Times New Roman"/>
        </w:rPr>
        <w:t>г.</w:t>
      </w:r>
      <w:r w:rsidR="00986342" w:rsidRPr="00986342">
        <w:rPr>
          <w:rFonts w:ascii="Times New Roman" w:hAnsi="Times New Roman" w:cs="Times New Roman"/>
        </w:rPr>
        <w:t xml:space="preserve"> </w:t>
      </w:r>
      <w:r w:rsidR="00986342" w:rsidRPr="0098634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</w:t>
      </w:r>
      <w:r w:rsidR="00986342">
        <w:rPr>
          <w:rFonts w:ascii="Times New Roman" w:hAnsi="Times New Roman" w:cs="Times New Roman"/>
        </w:rPr>
        <w:t xml:space="preserve">                       </w:t>
      </w:r>
      <w:r w:rsidR="00986342" w:rsidRPr="00986342">
        <w:rPr>
          <w:rFonts w:ascii="Times New Roman" w:hAnsi="Times New Roman" w:cs="Times New Roman"/>
        </w:rPr>
        <w:t xml:space="preserve">            </w:t>
      </w:r>
      <w:r w:rsidR="00986342" w:rsidRPr="00986342">
        <w:rPr>
          <w:rFonts w:ascii="Times New Roman" w:hAnsi="Times New Roman" w:cs="Times New Roman"/>
        </w:rPr>
        <w:tab/>
      </w:r>
      <w:r w:rsidR="00D703B3">
        <w:rPr>
          <w:rFonts w:ascii="Times New Roman" w:hAnsi="Times New Roman" w:cs="Times New Roman"/>
        </w:rPr>
        <w:t xml:space="preserve">             </w:t>
      </w:r>
      <w:r w:rsidR="00986342" w:rsidRPr="00986342">
        <w:rPr>
          <w:rFonts w:ascii="Times New Roman" w:hAnsi="Times New Roman" w:cs="Times New Roman"/>
        </w:rPr>
        <w:t xml:space="preserve">№  </w:t>
      </w:r>
      <w:r w:rsidR="00947FFA">
        <w:rPr>
          <w:rFonts w:ascii="Times New Roman" w:hAnsi="Times New Roman" w:cs="Times New Roman"/>
        </w:rPr>
        <w:t>2</w:t>
      </w:r>
      <w:r w:rsidR="00D94CE6">
        <w:rPr>
          <w:rFonts w:ascii="Times New Roman" w:hAnsi="Times New Roman" w:cs="Times New Roman"/>
        </w:rPr>
        <w:t>3</w:t>
      </w:r>
    </w:p>
    <w:p w:rsidR="00986342" w:rsidRDefault="00986342" w:rsidP="00986342"/>
    <w:p w:rsidR="00C43B01" w:rsidRPr="00986342" w:rsidRDefault="00C43B01" w:rsidP="00986342"/>
    <w:p w:rsidR="001E0B16" w:rsidRPr="007528DF" w:rsidRDefault="001E0B16" w:rsidP="001E0B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28D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947FFA" w:rsidRDefault="00FF49D7" w:rsidP="00947FFA">
      <w:pPr>
        <w:tabs>
          <w:tab w:val="left" w:pos="180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37E" w:rsidRPr="007528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>возражени</w:t>
      </w:r>
      <w:r>
        <w:rPr>
          <w:rFonts w:ascii="Times New Roman" w:hAnsi="Times New Roman" w:cs="Times New Roman"/>
          <w:color w:val="auto"/>
          <w:sz w:val="28"/>
          <w:szCs w:val="28"/>
        </w:rPr>
        <w:t>ю на заключение №20 от 25 апреля 2022 г.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внешней проверки бюджетной отчетности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главного администратора (распорядителя) бюджетных средств</w:t>
      </w:r>
      <w:r w:rsidR="00875BB8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дминистрации Боль</w:t>
      </w:r>
      <w:r w:rsidR="006A6BD6">
        <w:rPr>
          <w:rFonts w:ascii="Times New Roman" w:hAnsi="Times New Roman" w:cs="Times New Roman"/>
          <w:color w:val="auto"/>
          <w:sz w:val="28"/>
          <w:szCs w:val="28"/>
        </w:rPr>
        <w:t>шеулуйского района за 2021 год.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0B16" w:rsidRPr="00986342" w:rsidRDefault="001E0B16" w:rsidP="006D6AF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15134" w:type="dxa"/>
        <w:tblLook w:val="04A0"/>
      </w:tblPr>
      <w:tblGrid>
        <w:gridCol w:w="4786"/>
        <w:gridCol w:w="5245"/>
        <w:gridCol w:w="5103"/>
      </w:tblGrid>
      <w:tr w:rsidR="001E0B16" w:rsidRPr="00986342" w:rsidTr="00202895">
        <w:tc>
          <w:tcPr>
            <w:tcW w:w="4786" w:type="dxa"/>
          </w:tcPr>
          <w:p w:rsidR="001E0B16" w:rsidRPr="00986342" w:rsidRDefault="00875BB8" w:rsidP="00875B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 заключению</w:t>
            </w:r>
          </w:p>
        </w:tc>
        <w:tc>
          <w:tcPr>
            <w:tcW w:w="5245" w:type="dxa"/>
          </w:tcPr>
          <w:p w:rsidR="001E0B16" w:rsidRPr="00986342" w:rsidRDefault="00875BB8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Разногласия </w:t>
            </w:r>
            <w:r w:rsidR="00AE597A" w:rsidRPr="009863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5103" w:type="dxa"/>
          </w:tcPr>
          <w:p w:rsidR="001E0B16" w:rsidRPr="00986342" w:rsidRDefault="001E0B16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6342">
              <w:rPr>
                <w:rFonts w:ascii="Times New Roman" w:hAnsi="Times New Roman" w:cs="Times New Roman"/>
                <w:bCs/>
                <w:color w:val="auto"/>
              </w:rPr>
              <w:t xml:space="preserve">Решение, принятое </w:t>
            </w:r>
            <w:proofErr w:type="gramStart"/>
            <w:r w:rsidRPr="00986342">
              <w:rPr>
                <w:rFonts w:ascii="Times New Roman" w:hAnsi="Times New Roman" w:cs="Times New Roman"/>
                <w:bCs/>
                <w:color w:val="auto"/>
              </w:rPr>
              <w:t>по</w:t>
            </w:r>
            <w:proofErr w:type="gramEnd"/>
          </w:p>
          <w:p w:rsidR="001E0B16" w:rsidRPr="00986342" w:rsidRDefault="001E0B16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6342">
              <w:rPr>
                <w:rFonts w:ascii="Times New Roman" w:hAnsi="Times New Roman" w:cs="Times New Roman"/>
                <w:bCs/>
                <w:color w:val="auto"/>
              </w:rPr>
              <w:t>итогам рассмотрения</w:t>
            </w:r>
          </w:p>
          <w:p w:rsidR="001E0B16" w:rsidRPr="00875BB8" w:rsidRDefault="00875BB8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75BB8">
              <w:rPr>
                <w:rFonts w:ascii="Times New Roman" w:hAnsi="Times New Roman" w:cs="Times New Roman"/>
                <w:bCs/>
                <w:color w:val="auto"/>
              </w:rPr>
              <w:t>разногласий</w:t>
            </w:r>
          </w:p>
        </w:tc>
      </w:tr>
      <w:tr w:rsidR="008F5019" w:rsidRPr="00986342" w:rsidTr="00202895">
        <w:tc>
          <w:tcPr>
            <w:tcW w:w="4786" w:type="dxa"/>
          </w:tcPr>
          <w:p w:rsidR="008F5019" w:rsidRPr="0077536F" w:rsidRDefault="0077536F" w:rsidP="002F4E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абз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аце 4 странице 2 прописано «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ст.215.1 БК РФ исполнение бюджета организуется на основе сводной бюджетной росписи и кассового плана. Сводная бюджетная роспись и кассовый план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8F5019" w:rsidRPr="00A22DC0" w:rsidRDefault="0077536F" w:rsidP="00EE0BFE">
            <w:pPr>
              <w:widowControl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Согласно приказу финансово-экономического управления администрации Большеулуйского района Красноярского края № 16-д от 01.02.2019 г. ведение сводной бюджетной росписи осуществляет финансово-экономическое управление администрации Большеулуйского района </w:t>
            </w:r>
          </w:p>
        </w:tc>
        <w:tc>
          <w:tcPr>
            <w:tcW w:w="5103" w:type="dxa"/>
          </w:tcPr>
          <w:p w:rsidR="008F5019" w:rsidRPr="00A22DC0" w:rsidRDefault="00661C92" w:rsidP="00875BB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Указанный абзац</w:t>
            </w:r>
            <w:r w:rsidRPr="00A22D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5C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исключить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из </w:t>
            </w:r>
            <w:r w:rsidR="00875B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ак</w:t>
            </w:r>
            <w:r w:rsidR="00875B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лючения</w:t>
            </w:r>
            <w:r w:rsidRPr="00A22D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1E0B16" w:rsidRPr="00986342" w:rsidTr="00202895">
        <w:tc>
          <w:tcPr>
            <w:tcW w:w="4786" w:type="dxa"/>
          </w:tcPr>
          <w:p w:rsidR="005036EE" w:rsidRPr="005036EE" w:rsidRDefault="00E076D5" w:rsidP="005036EE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5036EE">
              <w:rPr>
                <w:bCs/>
                <w:sz w:val="28"/>
                <w:szCs w:val="28"/>
              </w:rPr>
              <w:t>В абзаце 8 на странице 5 прописано «</w:t>
            </w:r>
            <w:r w:rsidR="005036EE" w:rsidRPr="005036EE">
              <w:rPr>
                <w:bCs/>
                <w:sz w:val="28"/>
                <w:szCs w:val="28"/>
              </w:rPr>
              <w:t xml:space="preserve">В Пояснительной записке (ф. 0503160)  в разделе 3 «Анализ отчета об исполнении бюджета субъектом бюджетной отчетности» указывается о </w:t>
            </w:r>
            <w:r w:rsidR="005036EE" w:rsidRPr="005036EE">
              <w:rPr>
                <w:bCs/>
                <w:sz w:val="28"/>
                <w:szCs w:val="28"/>
              </w:rPr>
              <w:lastRenderedPageBreak/>
              <w:t>поступление пожертвования от ВНК НПЗ в размере 25 000 000,00 рублей, а в форме (0503127)</w:t>
            </w:r>
            <w:r w:rsidR="005036EE" w:rsidRPr="005036EE">
              <w:rPr>
                <w:sz w:val="28"/>
                <w:szCs w:val="28"/>
              </w:rPr>
              <w:t xml:space="preserve"> «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      </w:r>
            <w:proofErr w:type="gramEnd"/>
            <w:r w:rsidR="005036EE" w:rsidRPr="005036EE">
              <w:rPr>
                <w:sz w:val="28"/>
                <w:szCs w:val="28"/>
              </w:rPr>
              <w:t xml:space="preserve"> доходов бюджета» отражены поступления от денежных пожертвований, предоставляемых негосударственными организациями получателям средств бюджетов муниципальных районов в сумме 2 550 000,00 рублей.</w:t>
            </w:r>
          </w:p>
          <w:p w:rsidR="008C63D0" w:rsidRPr="00D703B3" w:rsidRDefault="005036EE" w:rsidP="005036EE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036EE">
              <w:rPr>
                <w:rFonts w:ascii="Times New Roman" w:hAnsi="Times New Roman" w:cs="Times New Roman"/>
                <w:sz w:val="28"/>
                <w:szCs w:val="28"/>
              </w:rPr>
              <w:t>Искажение показателей бюджетной или бухгалтерской (финансовой) отчетности составило 22 450 000,00 рублей или 89,8%,</w:t>
            </w:r>
          </w:p>
        </w:tc>
        <w:tc>
          <w:tcPr>
            <w:tcW w:w="5245" w:type="dxa"/>
          </w:tcPr>
          <w:p w:rsidR="000047EF" w:rsidRDefault="005036EE" w:rsidP="005036EE">
            <w:pPr>
              <w:widowControl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В Пояснительной записке (ф.0503160) в текстовой части раздела 3 допущена опечатка 25 000 000,00 рублей вместо 2 550 000,00 рублей. В форме бюджетной отчетности (ф.0503127) поступление от денежных пожертвований от ВНК НПЗ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показатели бухгалтерской отчетности не искажены.</w:t>
            </w:r>
          </w:p>
          <w:p w:rsidR="005036EE" w:rsidRPr="00A22DC0" w:rsidRDefault="005036EE" w:rsidP="00530E8E">
            <w:pPr>
              <w:widowControl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Нарушение требований к бюджетному (бухгалтерскому) учету, не повлекшее искажение показателей бюджетной или бухгалтерской (финансовой) отчетности, согласно ст. 15.15.6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РФ не относятся к нарушениям, и не предусматривает административную ответственность.</w:t>
            </w:r>
          </w:p>
        </w:tc>
        <w:tc>
          <w:tcPr>
            <w:tcW w:w="5103" w:type="dxa"/>
          </w:tcPr>
          <w:p w:rsidR="00530E8E" w:rsidRDefault="00530E8E" w:rsidP="00530E8E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Абзац 8 на странице 5 читать в следующей редакции «</w:t>
            </w:r>
            <w:r w:rsidRPr="005036EE">
              <w:rPr>
                <w:bCs/>
                <w:sz w:val="28"/>
                <w:szCs w:val="28"/>
              </w:rPr>
              <w:t xml:space="preserve">В Пояснительной записке (ф. 0503160)  в разделе 3 «Анализ отчета об исполнении бюджета субъектом бюджетной отчетности» указывается о поступление </w:t>
            </w:r>
            <w:r w:rsidRPr="005036EE">
              <w:rPr>
                <w:bCs/>
                <w:sz w:val="28"/>
                <w:szCs w:val="28"/>
              </w:rPr>
              <w:lastRenderedPageBreak/>
              <w:t>пожертвования от ВНК НПЗ в размере 25 000 000,00 рублей, а в форме (0503127)</w:t>
            </w:r>
            <w:r w:rsidR="00013F2E">
              <w:rPr>
                <w:sz w:val="28"/>
                <w:szCs w:val="28"/>
              </w:rPr>
              <w:t xml:space="preserve"> «</w:t>
            </w:r>
            <w:r w:rsidRPr="005036EE">
              <w:rPr>
                <w:sz w:val="28"/>
                <w:szCs w:val="2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</w:t>
            </w:r>
            <w:proofErr w:type="gramEnd"/>
            <w:r w:rsidRPr="005036EE">
              <w:rPr>
                <w:sz w:val="28"/>
                <w:szCs w:val="28"/>
              </w:rPr>
              <w:t xml:space="preserve"> администратора, администратора доходов бюджета» отражены поступления от денежных пожертвований, предоставляемых негосударственными организациями получателям средств бюджетов муниципальных районов в сумме 2 550 000,00 рублей</w:t>
            </w:r>
            <w:r w:rsidR="00D94CE6">
              <w:rPr>
                <w:sz w:val="28"/>
                <w:szCs w:val="28"/>
              </w:rPr>
              <w:t>.</w:t>
            </w:r>
            <w:r w:rsidR="00D94CE6">
              <w:rPr>
                <w:bCs/>
                <w:sz w:val="28"/>
                <w:szCs w:val="28"/>
              </w:rPr>
              <w:t xml:space="preserve"> В Пояснительной записке (ф.0503160) в текстовой части раздела 3 </w:t>
            </w:r>
            <w:r w:rsidR="00D94CE6" w:rsidRPr="005036EE">
              <w:rPr>
                <w:bCs/>
                <w:sz w:val="28"/>
                <w:szCs w:val="28"/>
              </w:rPr>
              <w:t xml:space="preserve">«Анализ отчета об исполнении бюджета субъектом бюджетной отчетности» </w:t>
            </w:r>
            <w:r w:rsidR="00D94CE6">
              <w:rPr>
                <w:bCs/>
                <w:sz w:val="28"/>
                <w:szCs w:val="28"/>
              </w:rPr>
              <w:t>допущена опечатка 25 000 000,00 рублей вместо 2 550 000,00 рублей</w:t>
            </w:r>
            <w:proofErr w:type="gramStart"/>
            <w:r w:rsidR="00D94CE6">
              <w:rPr>
                <w:bCs/>
                <w:sz w:val="28"/>
                <w:szCs w:val="28"/>
              </w:rPr>
              <w:t>.</w:t>
            </w:r>
            <w:r w:rsidR="00D94CE6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530E8E" w:rsidRPr="005036EE" w:rsidRDefault="00530E8E" w:rsidP="00530E8E">
            <w:pPr>
              <w:pStyle w:val="aa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Абзац </w:t>
            </w:r>
            <w:r w:rsidR="00875BB8">
              <w:rPr>
                <w:sz w:val="28"/>
                <w:szCs w:val="28"/>
              </w:rPr>
              <w:t xml:space="preserve">1 и </w:t>
            </w:r>
            <w:r>
              <w:rPr>
                <w:sz w:val="28"/>
                <w:szCs w:val="28"/>
              </w:rPr>
              <w:t>2 на странице 6 исключить.</w:t>
            </w:r>
          </w:p>
          <w:p w:rsidR="008F0559" w:rsidRPr="00A22DC0" w:rsidRDefault="008F0559" w:rsidP="004B5CE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1E0B16" w:rsidRDefault="001E0B16" w:rsidP="001E0B16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0"/>
          <w:szCs w:val="20"/>
        </w:rPr>
      </w:pPr>
    </w:p>
    <w:p w:rsidR="00C1450D" w:rsidRPr="00072DEF" w:rsidRDefault="00072DEF" w:rsidP="008D52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875BB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D6711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аключение считать неотъемлемой частью </w:t>
      </w:r>
      <w:r w:rsidR="00C1450D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заключения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№ 20</w:t>
      </w:r>
      <w:r w:rsidR="005D6711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82367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670" w:rsidRPr="00072DEF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6885" w:rsidRPr="003A435C" w:rsidRDefault="000C6885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528DF" w:rsidRDefault="007528DF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20FAE" w:rsidRPr="003A435C" w:rsidRDefault="00C20FAE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50D" w:rsidRPr="003A435C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ь</w:t>
      </w:r>
    </w:p>
    <w:p w:rsidR="00C1450D" w:rsidRPr="003A435C" w:rsidRDefault="00C1450D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</w:p>
    <w:p w:rsidR="00FD1D86" w:rsidRPr="003A435C" w:rsidRDefault="00C1450D" w:rsidP="0060368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Большеулуйского  района                                        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 </w:t>
      </w:r>
      <w:r w:rsidR="000C6885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 xml:space="preserve"> П. Елисеева </w:t>
      </w:r>
    </w:p>
    <w:sectPr w:rsidR="00FD1D86" w:rsidRPr="003A435C" w:rsidSect="00875B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0B16"/>
    <w:rsid w:val="000047EF"/>
    <w:rsid w:val="00007DF7"/>
    <w:rsid w:val="00013F2E"/>
    <w:rsid w:val="000456BF"/>
    <w:rsid w:val="00046F73"/>
    <w:rsid w:val="0006437E"/>
    <w:rsid w:val="00066F63"/>
    <w:rsid w:val="00072DEF"/>
    <w:rsid w:val="00077A16"/>
    <w:rsid w:val="0008381A"/>
    <w:rsid w:val="000838F3"/>
    <w:rsid w:val="00087224"/>
    <w:rsid w:val="00087327"/>
    <w:rsid w:val="000C6885"/>
    <w:rsid w:val="000D264C"/>
    <w:rsid w:val="000D2A68"/>
    <w:rsid w:val="000D492F"/>
    <w:rsid w:val="000D6AC3"/>
    <w:rsid w:val="00100DF3"/>
    <w:rsid w:val="00101789"/>
    <w:rsid w:val="001037D5"/>
    <w:rsid w:val="00104D84"/>
    <w:rsid w:val="0013277B"/>
    <w:rsid w:val="001360C0"/>
    <w:rsid w:val="00141CC9"/>
    <w:rsid w:val="00157D7B"/>
    <w:rsid w:val="001A6207"/>
    <w:rsid w:val="001A6C64"/>
    <w:rsid w:val="001E0B16"/>
    <w:rsid w:val="001E7CCA"/>
    <w:rsid w:val="001F7FA2"/>
    <w:rsid w:val="00200C51"/>
    <w:rsid w:val="00202895"/>
    <w:rsid w:val="00217F84"/>
    <w:rsid w:val="00222B6D"/>
    <w:rsid w:val="00236092"/>
    <w:rsid w:val="00246BB3"/>
    <w:rsid w:val="0025044B"/>
    <w:rsid w:val="00254B31"/>
    <w:rsid w:val="0025782D"/>
    <w:rsid w:val="002715BA"/>
    <w:rsid w:val="002F028E"/>
    <w:rsid w:val="002F4EBA"/>
    <w:rsid w:val="002F657C"/>
    <w:rsid w:val="003300BB"/>
    <w:rsid w:val="003765A6"/>
    <w:rsid w:val="00390B81"/>
    <w:rsid w:val="00395A29"/>
    <w:rsid w:val="003A435C"/>
    <w:rsid w:val="003B4770"/>
    <w:rsid w:val="003B7E2D"/>
    <w:rsid w:val="003C6E2F"/>
    <w:rsid w:val="00400946"/>
    <w:rsid w:val="00426CBE"/>
    <w:rsid w:val="00444218"/>
    <w:rsid w:val="00476C5D"/>
    <w:rsid w:val="004B5CE4"/>
    <w:rsid w:val="004C4147"/>
    <w:rsid w:val="004D7865"/>
    <w:rsid w:val="004E5557"/>
    <w:rsid w:val="004E5B1F"/>
    <w:rsid w:val="005036EE"/>
    <w:rsid w:val="005129A1"/>
    <w:rsid w:val="00513F4D"/>
    <w:rsid w:val="00515415"/>
    <w:rsid w:val="00530E8E"/>
    <w:rsid w:val="00547C22"/>
    <w:rsid w:val="00573188"/>
    <w:rsid w:val="00574B0D"/>
    <w:rsid w:val="00581C25"/>
    <w:rsid w:val="005C2EF5"/>
    <w:rsid w:val="005D6711"/>
    <w:rsid w:val="005E0FFD"/>
    <w:rsid w:val="005F0EB3"/>
    <w:rsid w:val="005F114A"/>
    <w:rsid w:val="005F1781"/>
    <w:rsid w:val="00603681"/>
    <w:rsid w:val="006044FC"/>
    <w:rsid w:val="006160F2"/>
    <w:rsid w:val="00617615"/>
    <w:rsid w:val="00617D82"/>
    <w:rsid w:val="00633EEF"/>
    <w:rsid w:val="006473AE"/>
    <w:rsid w:val="00661C92"/>
    <w:rsid w:val="006673F8"/>
    <w:rsid w:val="006A3FC8"/>
    <w:rsid w:val="006A6BD6"/>
    <w:rsid w:val="006B24D6"/>
    <w:rsid w:val="006B30CB"/>
    <w:rsid w:val="006B5BE1"/>
    <w:rsid w:val="006D6AF1"/>
    <w:rsid w:val="006F0A49"/>
    <w:rsid w:val="00706419"/>
    <w:rsid w:val="007106A6"/>
    <w:rsid w:val="00750E9E"/>
    <w:rsid w:val="007528DF"/>
    <w:rsid w:val="0075614E"/>
    <w:rsid w:val="007720A4"/>
    <w:rsid w:val="00772434"/>
    <w:rsid w:val="0077536F"/>
    <w:rsid w:val="00791020"/>
    <w:rsid w:val="00797FB2"/>
    <w:rsid w:val="007A58EC"/>
    <w:rsid w:val="007A60DB"/>
    <w:rsid w:val="007A6B36"/>
    <w:rsid w:val="007D6B63"/>
    <w:rsid w:val="007E62B3"/>
    <w:rsid w:val="007F5988"/>
    <w:rsid w:val="00816DC6"/>
    <w:rsid w:val="00823670"/>
    <w:rsid w:val="008448B9"/>
    <w:rsid w:val="00865D48"/>
    <w:rsid w:val="00875BB8"/>
    <w:rsid w:val="008933D6"/>
    <w:rsid w:val="008C63D0"/>
    <w:rsid w:val="008D529E"/>
    <w:rsid w:val="008F0559"/>
    <w:rsid w:val="008F36D6"/>
    <w:rsid w:val="008F5019"/>
    <w:rsid w:val="00912783"/>
    <w:rsid w:val="009404ED"/>
    <w:rsid w:val="009441C5"/>
    <w:rsid w:val="00945979"/>
    <w:rsid w:val="0094673C"/>
    <w:rsid w:val="00947FFA"/>
    <w:rsid w:val="00984776"/>
    <w:rsid w:val="00986342"/>
    <w:rsid w:val="009A4C1C"/>
    <w:rsid w:val="009A6D82"/>
    <w:rsid w:val="00A13A84"/>
    <w:rsid w:val="00A16DC9"/>
    <w:rsid w:val="00A22DC0"/>
    <w:rsid w:val="00AA366B"/>
    <w:rsid w:val="00AB3F83"/>
    <w:rsid w:val="00AC53DB"/>
    <w:rsid w:val="00AE597A"/>
    <w:rsid w:val="00B03C60"/>
    <w:rsid w:val="00B07CB2"/>
    <w:rsid w:val="00B165FA"/>
    <w:rsid w:val="00B2252D"/>
    <w:rsid w:val="00B352D6"/>
    <w:rsid w:val="00BB4DBC"/>
    <w:rsid w:val="00BE4DF4"/>
    <w:rsid w:val="00BF3012"/>
    <w:rsid w:val="00C1450D"/>
    <w:rsid w:val="00C17304"/>
    <w:rsid w:val="00C20FAE"/>
    <w:rsid w:val="00C267F8"/>
    <w:rsid w:val="00C27B7B"/>
    <w:rsid w:val="00C3438A"/>
    <w:rsid w:val="00C35F34"/>
    <w:rsid w:val="00C43B01"/>
    <w:rsid w:val="00CB5448"/>
    <w:rsid w:val="00CB7250"/>
    <w:rsid w:val="00CB78D3"/>
    <w:rsid w:val="00CD2EBF"/>
    <w:rsid w:val="00CD71E5"/>
    <w:rsid w:val="00D03C15"/>
    <w:rsid w:val="00D27D74"/>
    <w:rsid w:val="00D351B8"/>
    <w:rsid w:val="00D359B8"/>
    <w:rsid w:val="00D432A4"/>
    <w:rsid w:val="00D703B3"/>
    <w:rsid w:val="00D768A3"/>
    <w:rsid w:val="00D94CE6"/>
    <w:rsid w:val="00D95483"/>
    <w:rsid w:val="00DF2FAB"/>
    <w:rsid w:val="00E076D5"/>
    <w:rsid w:val="00E07AED"/>
    <w:rsid w:val="00E45EA3"/>
    <w:rsid w:val="00E56DA4"/>
    <w:rsid w:val="00E7161C"/>
    <w:rsid w:val="00E75226"/>
    <w:rsid w:val="00E94F33"/>
    <w:rsid w:val="00EA2C97"/>
    <w:rsid w:val="00EB342B"/>
    <w:rsid w:val="00EE0BFE"/>
    <w:rsid w:val="00F12600"/>
    <w:rsid w:val="00F16D52"/>
    <w:rsid w:val="00F242A4"/>
    <w:rsid w:val="00F31945"/>
    <w:rsid w:val="00F42FB1"/>
    <w:rsid w:val="00FD1D86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B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8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4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rsid w:val="00986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link w:val="a8"/>
    <w:uiPriority w:val="34"/>
    <w:qFormat/>
    <w:rsid w:val="00072DE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072D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8F36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036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872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FCA3-CCCB-45F7-B03E-B985EBF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КСО</dc:creator>
  <cp:lastModifiedBy>КСО</cp:lastModifiedBy>
  <cp:revision>24</cp:revision>
  <cp:lastPrinted>2022-05-05T08:35:00Z</cp:lastPrinted>
  <dcterms:created xsi:type="dcterms:W3CDTF">2021-04-07T02:57:00Z</dcterms:created>
  <dcterms:modified xsi:type="dcterms:W3CDTF">2022-09-15T05:41:00Z</dcterms:modified>
</cp:coreProperties>
</file>