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121F2">
        <w:rPr>
          <w:rFonts w:ascii="Times New Roman" w:hAnsi="Times New Roman" w:cs="Times New Roman"/>
          <w:b/>
          <w:sz w:val="24"/>
          <w:szCs w:val="24"/>
          <w:u w:val="single"/>
        </w:rPr>
        <w:t>без объявления цены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D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508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86593F" w:rsidRDefault="0086593F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473"/>
        <w:gridCol w:w="3969"/>
        <w:gridCol w:w="1168"/>
      </w:tblGrid>
      <w:tr w:rsidR="003D1DE2" w:rsidRPr="003D1DE2" w:rsidTr="00997B0A">
        <w:trPr>
          <w:cantSplit/>
          <w:trHeight w:val="1835"/>
        </w:trPr>
        <w:tc>
          <w:tcPr>
            <w:tcW w:w="888" w:type="dxa"/>
            <w:vAlign w:val="center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473" w:type="dxa"/>
            <w:vAlign w:val="center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3969" w:type="dxa"/>
            <w:vAlign w:val="center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68" w:type="dxa"/>
            <w:vAlign w:val="center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</w:t>
            </w:r>
          </w:p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3D1DE2" w:rsidRPr="003D1DE2" w:rsidTr="00997B0A">
        <w:tc>
          <w:tcPr>
            <w:tcW w:w="888" w:type="dxa"/>
            <w:vMerge w:val="restart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Нежилое здание «Зерносклад», кадастровый номер: 24:09:3101037:238</w:t>
            </w:r>
          </w:p>
        </w:tc>
        <w:tc>
          <w:tcPr>
            <w:tcW w:w="3969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ул. </w:t>
            </w:r>
            <w:proofErr w:type="gramStart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2И</w:t>
            </w:r>
          </w:p>
        </w:tc>
        <w:tc>
          <w:tcPr>
            <w:tcW w:w="1168" w:type="dxa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622,5</w:t>
            </w:r>
          </w:p>
        </w:tc>
      </w:tr>
      <w:tr w:rsidR="003D1DE2" w:rsidRPr="003D1DE2" w:rsidTr="00997B0A">
        <w:tc>
          <w:tcPr>
            <w:tcW w:w="888" w:type="dxa"/>
            <w:vMerge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номер: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24:09:</w:t>
            </w: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3101037</w:t>
            </w:r>
            <w:r w:rsidRPr="003D1DE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:263</w:t>
            </w:r>
          </w:p>
        </w:tc>
        <w:tc>
          <w:tcPr>
            <w:tcW w:w="3969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ул. </w:t>
            </w:r>
            <w:proofErr w:type="gramStart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2 «И»</w:t>
            </w:r>
          </w:p>
        </w:tc>
        <w:tc>
          <w:tcPr>
            <w:tcW w:w="1168" w:type="dxa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2883</w:t>
            </w:r>
          </w:p>
        </w:tc>
      </w:tr>
      <w:tr w:rsidR="003D1DE2" w:rsidRPr="003D1DE2" w:rsidTr="00997B0A">
        <w:tc>
          <w:tcPr>
            <w:tcW w:w="888" w:type="dxa"/>
            <w:vMerge w:val="restart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Нежилое здание «Зерносклад», кадастровый номер: 24:09:3101037:237</w:t>
            </w:r>
          </w:p>
        </w:tc>
        <w:tc>
          <w:tcPr>
            <w:tcW w:w="3969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ул. </w:t>
            </w:r>
            <w:proofErr w:type="gramStart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2К</w:t>
            </w:r>
          </w:p>
        </w:tc>
        <w:tc>
          <w:tcPr>
            <w:tcW w:w="1168" w:type="dxa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600,7</w:t>
            </w:r>
          </w:p>
        </w:tc>
      </w:tr>
      <w:tr w:rsidR="003D1DE2" w:rsidRPr="003D1DE2" w:rsidTr="00997B0A">
        <w:tc>
          <w:tcPr>
            <w:tcW w:w="888" w:type="dxa"/>
            <w:vMerge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номер: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24:09:</w:t>
            </w: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3101037</w:t>
            </w:r>
            <w:r w:rsidRPr="003D1DE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:551</w:t>
            </w:r>
          </w:p>
        </w:tc>
        <w:tc>
          <w:tcPr>
            <w:tcW w:w="3969" w:type="dxa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3D1DE2" w:rsidRPr="003D1DE2" w:rsidRDefault="003D1DE2" w:rsidP="003D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ул. </w:t>
            </w:r>
            <w:proofErr w:type="gramStart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2К</w:t>
            </w:r>
          </w:p>
        </w:tc>
        <w:tc>
          <w:tcPr>
            <w:tcW w:w="1168" w:type="dxa"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</w:tbl>
    <w:p w:rsidR="00FE1E94" w:rsidRDefault="00FE1E94" w:rsidP="00FE1E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Состояние объектов удовлетворительное, требуется проведение капитального ремонта.</w:t>
      </w:r>
    </w:p>
    <w:p w:rsidR="00E61844" w:rsidRDefault="00E61844" w:rsidP="00E6184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E61844" w:rsidRDefault="00E61844" w:rsidP="00E61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3D1DE2" w:rsidRPr="000516B9" w:rsidRDefault="00095F8E" w:rsidP="003D1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E618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</w:t>
      </w:r>
      <w:r w:rsidR="00E6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="00E618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  <w:r w:rsidR="003D1DE2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имущества отсутствуют.</w:t>
      </w:r>
    </w:p>
    <w:p w:rsidR="00C32A6E" w:rsidRPr="00ED1352" w:rsidRDefault="00095F8E" w:rsidP="0005463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продажа </w:t>
      </w:r>
      <w:r w:rsidR="00C121F2">
        <w:rPr>
          <w:rFonts w:ascii="Times New Roman" w:hAnsi="Times New Roman" w:cs="Times New Roman"/>
          <w:bCs/>
          <w:color w:val="000000"/>
          <w:sz w:val="24"/>
          <w:szCs w:val="24"/>
        </w:rPr>
        <w:t>без объявления цены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61844" w:rsidRPr="00ED1352" w:rsidRDefault="00C121F2" w:rsidP="00E6184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844">
        <w:rPr>
          <w:rFonts w:ascii="Times New Roman" w:hAnsi="Times New Roman" w:cs="Times New Roman"/>
          <w:bCs/>
          <w:color w:val="000000"/>
          <w:sz w:val="24"/>
          <w:szCs w:val="24"/>
        </w:rPr>
        <w:t>Лот 1,2 - и</w:t>
      </w:r>
      <w:r w:rsidR="00E61844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E61844">
        <w:rPr>
          <w:rFonts w:ascii="Times New Roman" w:hAnsi="Times New Roman"/>
          <w:sz w:val="24"/>
          <w:szCs w:val="24"/>
        </w:rPr>
        <w:t xml:space="preserve"> </w:t>
      </w:r>
      <w:r w:rsidR="00E61844" w:rsidRPr="00ED1352">
        <w:rPr>
          <w:rFonts w:ascii="Times New Roman" w:hAnsi="Times New Roman"/>
          <w:sz w:val="24"/>
          <w:szCs w:val="24"/>
        </w:rPr>
        <w:t>на аукцион</w:t>
      </w:r>
      <w:r w:rsidR="00E61844">
        <w:rPr>
          <w:rFonts w:ascii="Times New Roman" w:hAnsi="Times New Roman"/>
          <w:sz w:val="24"/>
          <w:szCs w:val="24"/>
        </w:rPr>
        <w:t>, назначенный на</w:t>
      </w:r>
      <w:r w:rsidR="00E61844" w:rsidRPr="00ED1352">
        <w:rPr>
          <w:rFonts w:ascii="Times New Roman" w:hAnsi="Times New Roman"/>
          <w:sz w:val="24"/>
          <w:szCs w:val="24"/>
        </w:rPr>
        <w:t xml:space="preserve"> </w:t>
      </w:r>
      <w:r w:rsidR="003D1DE2">
        <w:rPr>
          <w:rFonts w:ascii="Times New Roman" w:hAnsi="Times New Roman"/>
          <w:sz w:val="24"/>
          <w:szCs w:val="24"/>
        </w:rPr>
        <w:t>26</w:t>
      </w:r>
      <w:r w:rsidR="00E61844" w:rsidRPr="00ED1352">
        <w:rPr>
          <w:rFonts w:ascii="Times New Roman" w:hAnsi="Times New Roman"/>
          <w:sz w:val="24"/>
          <w:szCs w:val="24"/>
        </w:rPr>
        <w:t>.</w:t>
      </w:r>
      <w:r w:rsidR="00E61844">
        <w:rPr>
          <w:rFonts w:ascii="Times New Roman" w:hAnsi="Times New Roman"/>
          <w:sz w:val="24"/>
          <w:szCs w:val="24"/>
        </w:rPr>
        <w:t>0</w:t>
      </w:r>
      <w:r w:rsidR="003D1DE2">
        <w:rPr>
          <w:rFonts w:ascii="Times New Roman" w:hAnsi="Times New Roman"/>
          <w:sz w:val="24"/>
          <w:szCs w:val="24"/>
        </w:rPr>
        <w:t>5</w:t>
      </w:r>
      <w:r w:rsidR="00E61844" w:rsidRPr="00ED1352">
        <w:rPr>
          <w:rFonts w:ascii="Times New Roman" w:hAnsi="Times New Roman"/>
          <w:sz w:val="24"/>
          <w:szCs w:val="24"/>
        </w:rPr>
        <w:t>.</w:t>
      </w:r>
      <w:r w:rsidR="00E61844">
        <w:rPr>
          <w:rFonts w:ascii="Times New Roman" w:hAnsi="Times New Roman"/>
          <w:sz w:val="24"/>
          <w:szCs w:val="24"/>
        </w:rPr>
        <w:t>202</w:t>
      </w:r>
      <w:r w:rsidR="003D1DE2">
        <w:rPr>
          <w:rFonts w:ascii="Times New Roman" w:hAnsi="Times New Roman"/>
          <w:sz w:val="24"/>
          <w:szCs w:val="24"/>
        </w:rPr>
        <w:t>3</w:t>
      </w:r>
      <w:r w:rsidR="00E61844">
        <w:rPr>
          <w:rFonts w:ascii="Times New Roman" w:hAnsi="Times New Roman"/>
          <w:sz w:val="24"/>
          <w:szCs w:val="24"/>
        </w:rPr>
        <w:t>,</w:t>
      </w:r>
      <w:r w:rsidR="00E61844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E61844">
        <w:rPr>
          <w:rFonts w:ascii="Times New Roman" w:hAnsi="Times New Roman"/>
          <w:sz w:val="24"/>
          <w:szCs w:val="24"/>
        </w:rPr>
        <w:t>й</w:t>
      </w:r>
      <w:r w:rsidR="00E61844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E61844">
        <w:rPr>
          <w:rFonts w:ascii="Times New Roman" w:hAnsi="Times New Roman"/>
          <w:sz w:val="24"/>
          <w:szCs w:val="24"/>
        </w:rPr>
        <w:t>и</w:t>
      </w:r>
      <w:r w:rsidR="00E61844" w:rsidRPr="00ED1352">
        <w:rPr>
          <w:rFonts w:ascii="Times New Roman" w:hAnsi="Times New Roman"/>
          <w:sz w:val="24"/>
          <w:szCs w:val="24"/>
        </w:rPr>
        <w:t>ся</w:t>
      </w:r>
      <w:r w:rsidR="00E61844">
        <w:rPr>
          <w:rFonts w:ascii="Times New Roman" w:hAnsi="Times New Roman"/>
          <w:sz w:val="24"/>
          <w:szCs w:val="24"/>
        </w:rPr>
        <w:t xml:space="preserve">, в связи с тем, что не было подано ни одной заявки; </w:t>
      </w:r>
      <w:proofErr w:type="gramStart"/>
      <w:r w:rsidR="00E61844">
        <w:rPr>
          <w:rFonts w:ascii="Times New Roman" w:hAnsi="Times New Roman"/>
          <w:sz w:val="24"/>
          <w:szCs w:val="24"/>
        </w:rPr>
        <w:lastRenderedPageBreak/>
        <w:t>продажа</w:t>
      </w:r>
      <w:proofErr w:type="gramEnd"/>
      <w:r w:rsidR="00E61844">
        <w:rPr>
          <w:rFonts w:ascii="Times New Roman" w:hAnsi="Times New Roman"/>
          <w:sz w:val="24"/>
          <w:szCs w:val="24"/>
        </w:rPr>
        <w:t xml:space="preserve"> по цене публичного предложения назначенная на </w:t>
      </w:r>
      <w:r w:rsidR="003D1DE2">
        <w:rPr>
          <w:rFonts w:ascii="Times New Roman" w:hAnsi="Times New Roman"/>
          <w:sz w:val="24"/>
          <w:szCs w:val="24"/>
        </w:rPr>
        <w:t>17</w:t>
      </w:r>
      <w:r w:rsidR="00E61844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D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61844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E61844">
        <w:rPr>
          <w:rFonts w:ascii="Times New Roman" w:hAnsi="Times New Roman"/>
          <w:sz w:val="24"/>
          <w:szCs w:val="24"/>
        </w:rPr>
        <w:t xml:space="preserve">, в связи  тем, что до окончания срока подачи заявок </w:t>
      </w:r>
      <w:r w:rsidR="003D1DE2">
        <w:rPr>
          <w:rFonts w:ascii="Times New Roman" w:hAnsi="Times New Roman"/>
          <w:sz w:val="24"/>
          <w:szCs w:val="24"/>
        </w:rPr>
        <w:t xml:space="preserve">не </w:t>
      </w:r>
      <w:r w:rsidR="00E61844">
        <w:rPr>
          <w:rFonts w:ascii="Times New Roman" w:hAnsi="Times New Roman"/>
          <w:sz w:val="24"/>
          <w:szCs w:val="24"/>
        </w:rPr>
        <w:t>был</w:t>
      </w:r>
      <w:r w:rsidR="0085643A">
        <w:rPr>
          <w:rFonts w:ascii="Times New Roman" w:hAnsi="Times New Roman"/>
          <w:sz w:val="24"/>
          <w:szCs w:val="24"/>
        </w:rPr>
        <w:t>а</w:t>
      </w:r>
      <w:r w:rsidR="00E61844">
        <w:rPr>
          <w:rFonts w:ascii="Times New Roman" w:hAnsi="Times New Roman"/>
          <w:sz w:val="24"/>
          <w:szCs w:val="24"/>
        </w:rPr>
        <w:t xml:space="preserve"> подан</w:t>
      </w:r>
      <w:r w:rsidR="0085643A">
        <w:rPr>
          <w:rFonts w:ascii="Times New Roman" w:hAnsi="Times New Roman"/>
          <w:sz w:val="24"/>
          <w:szCs w:val="24"/>
        </w:rPr>
        <w:t>а ни</w:t>
      </w:r>
      <w:r w:rsidR="00E61844">
        <w:rPr>
          <w:rFonts w:ascii="Times New Roman" w:hAnsi="Times New Roman"/>
          <w:sz w:val="24"/>
          <w:szCs w:val="24"/>
        </w:rPr>
        <w:t xml:space="preserve"> одн</w:t>
      </w:r>
      <w:r w:rsidR="0085643A">
        <w:rPr>
          <w:rFonts w:ascii="Times New Roman" w:hAnsi="Times New Roman"/>
          <w:sz w:val="24"/>
          <w:szCs w:val="24"/>
        </w:rPr>
        <w:t>а</w:t>
      </w:r>
      <w:r w:rsidR="00E61844">
        <w:rPr>
          <w:rFonts w:ascii="Times New Roman" w:hAnsi="Times New Roman"/>
          <w:sz w:val="24"/>
          <w:szCs w:val="24"/>
        </w:rPr>
        <w:t xml:space="preserve"> заявк</w:t>
      </w:r>
      <w:r w:rsidR="0085643A">
        <w:rPr>
          <w:rFonts w:ascii="Times New Roman" w:hAnsi="Times New Roman"/>
          <w:sz w:val="24"/>
          <w:szCs w:val="24"/>
        </w:rPr>
        <w:t>а</w:t>
      </w:r>
      <w:r w:rsidR="00E61844">
        <w:rPr>
          <w:rFonts w:ascii="Times New Roman" w:hAnsi="Times New Roman"/>
          <w:sz w:val="24"/>
          <w:szCs w:val="24"/>
        </w:rPr>
        <w:t xml:space="preserve"> на участие в публичном предложении в электронной форме, публичное предложение признано несостоявшимся,</w:t>
      </w:r>
      <w:r w:rsidR="00E61844" w:rsidRPr="00E61844">
        <w:rPr>
          <w:rFonts w:ascii="Times New Roman" w:hAnsi="Times New Roman"/>
          <w:sz w:val="24"/>
          <w:szCs w:val="24"/>
        </w:rPr>
        <w:t xml:space="preserve"> </w:t>
      </w:r>
      <w:r w:rsidR="0085643A">
        <w:rPr>
          <w:rFonts w:ascii="Times New Roman" w:hAnsi="Times New Roman"/>
          <w:sz w:val="24"/>
          <w:szCs w:val="24"/>
        </w:rPr>
        <w:t xml:space="preserve">по Лоту № 1 </w:t>
      </w:r>
      <w:r w:rsidR="00E61844">
        <w:rPr>
          <w:rFonts w:ascii="Times New Roman" w:hAnsi="Times New Roman"/>
          <w:sz w:val="24"/>
          <w:szCs w:val="24"/>
        </w:rPr>
        <w:t xml:space="preserve">продажа по цене публичного предложения назначенная на 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61844">
        <w:rPr>
          <w:rFonts w:ascii="Times New Roman" w:hAnsi="Times New Roman"/>
          <w:sz w:val="24"/>
          <w:szCs w:val="24"/>
        </w:rPr>
        <w:t>, в связи  тем, что до окончания срока подачи заявок не была подана ни одна заявка на участие в публичном предложении в электронной форме, публичное предложение признано несостоявшимся.</w:t>
      </w:r>
    </w:p>
    <w:p w:rsidR="007D24DC" w:rsidRPr="00ED1352" w:rsidRDefault="00095F8E" w:rsidP="00E61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1" w:name="Par0"/>
      <w:bookmarkEnd w:id="1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E4602D" w:rsidRPr="00E4602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в информационном сообщении время – местное.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продажи (рассмотрение заявок) 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5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D3190A" w:rsidRPr="00D3190A" w:rsidRDefault="00D3190A" w:rsidP="00D319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продажи: </w:t>
      </w:r>
      <w:r w:rsidRPr="00D3190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заявке отдельное решение о рассмотрении предложения о цене имущества.</w:t>
      </w:r>
    </w:p>
    <w:p w:rsidR="00D3190A" w:rsidRPr="000516B9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продаже </w:t>
      </w: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</w:t>
      </w:r>
      <w:r w:rsidR="00856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Претендент), обязано осуществить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действия: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продаже возлагается на Претендента.</w:t>
      </w:r>
    </w:p>
    <w:p w:rsidR="008D475E" w:rsidRPr="008D475E" w:rsidRDefault="008D475E" w:rsidP="008D4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D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с документами и информацией об объектах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продажи 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www.torgi.gov.ru,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Большеулуйский район </w:t>
      </w:r>
      <w:r w:rsidRPr="008D475E">
        <w:rPr>
          <w:rFonts w:ascii="Times New Roman" w:hAnsi="Times New Roman" w:cs="Times New Roman"/>
          <w:sz w:val="24"/>
          <w:szCs w:val="24"/>
        </w:rPr>
        <w:t>https://adm-buluy.ru/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электронной площадке https://www.rts-tender.ru/.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0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независимо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1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04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Организатора торгов). 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8D475E" w:rsidRPr="008D475E" w:rsidRDefault="000464A7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форма подачи заявок и срок отзыва заявок на участие в продаже </w:t>
      </w:r>
    </w:p>
    <w:p w:rsidR="008D475E" w:rsidRPr="008D475E" w:rsidRDefault="008D475E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приватизации, а также направляют свои предложения о цене имущества.</w:t>
      </w:r>
      <w:proofErr w:type="gramEnd"/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– копию всех листов документа, удостоверяющего личность;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начала</w:t>
      </w:r>
      <w:proofErr w:type="gramEnd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 (Приложение 1 к информационному сообщению).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D475E" w:rsidRPr="008D475E" w:rsidRDefault="008D475E" w:rsidP="008D475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631E6A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подведения итогов продажи имущества</w:t>
      </w:r>
    </w:p>
    <w:p w:rsidR="008D475E" w:rsidRPr="008D475E" w:rsidRDefault="008D475E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информационном сообщении.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Покупателем имущества признается: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цена сделки;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D12B76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договора купли-продажи по итогам продажи </w:t>
      </w:r>
    </w:p>
    <w:p w:rsid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D7822" w:rsidRDefault="004D7822" w:rsidP="004D78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822" w:rsidRPr="00B9112C" w:rsidRDefault="004D7822" w:rsidP="004D7822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Pr="00B9112C">
        <w:rPr>
          <w:b w:val="0"/>
          <w:sz w:val="24"/>
          <w:szCs w:val="24"/>
        </w:rPr>
        <w:br/>
        <w:t xml:space="preserve">по итогам </w:t>
      </w:r>
      <w:r>
        <w:rPr>
          <w:b w:val="0"/>
          <w:sz w:val="24"/>
          <w:szCs w:val="24"/>
        </w:rPr>
        <w:t>продажи.</w:t>
      </w:r>
    </w:p>
    <w:p w:rsidR="004D7822" w:rsidRPr="00083E0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F91614" w:rsidRPr="00F91614" w:rsidRDefault="004D7822" w:rsidP="00F916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614" w:rsidRPr="00F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ИНН/КПП: 2409000638/240901001,  ОКТМО 04611000, л/с: 04193001110,   КБК  111 114 13050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4D7822" w:rsidRPr="00F91614" w:rsidRDefault="00F91614" w:rsidP="00F916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</w:t>
      </w:r>
      <w:r w:rsidR="004D7822" w:rsidRPr="00F9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82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>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</w:t>
      </w:r>
      <w:r>
        <w:rPr>
          <w:b w:val="0"/>
          <w:sz w:val="24"/>
          <w:szCs w:val="24"/>
        </w:rPr>
        <w:t xml:space="preserve"> заключение указанного договора</w:t>
      </w:r>
      <w:r w:rsidRPr="00A730D2">
        <w:rPr>
          <w:b w:val="0"/>
          <w:sz w:val="24"/>
          <w:szCs w:val="24"/>
        </w:rPr>
        <w:t>.</w:t>
      </w:r>
    </w:p>
    <w:p w:rsid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продажи от заключения Договора купли-продажи с данного участника (покупателя) взимается штраф.</w:t>
      </w:r>
    </w:p>
    <w:p w:rsidR="008D475E" w:rsidRP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4D7822">
        <w:rPr>
          <w:b w:val="0"/>
          <w:sz w:val="24"/>
          <w:szCs w:val="24"/>
        </w:rPr>
        <w:t>дств в р</w:t>
      </w:r>
      <w:proofErr w:type="gramEnd"/>
      <w:r w:rsidRPr="004D7822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полной оплаты имущества.</w:t>
      </w:r>
    </w:p>
    <w:p w:rsidR="008D475E" w:rsidRPr="008D475E" w:rsidRDefault="008D475E" w:rsidP="008D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 могут ознакомиться с техническим описанием имущества, отчетом о рыночной стоимости имущества, а также получить дополнительную информацию о проведении продажи и об условиях договора купли-продажи имущества по телефону: 8(3915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2-12-51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Красноярский край, 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 район, с. Большой Улуй, ул. Революции, 11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каб.2-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70" w:rsidRDefault="007C2F70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4" w:rsidRDefault="00F91614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ИМУЩЕСТВА</w:t>
      </w:r>
      <w:r w:rsidR="00D12B76">
        <w:rPr>
          <w:rFonts w:ascii="Times New Roman" w:eastAsia="Times New Roman" w:hAnsi="Times New Roman" w:cs="Times New Roman"/>
          <w:b/>
          <w:sz w:val="24"/>
          <w:szCs w:val="20"/>
        </w:rPr>
        <w:t xml:space="preserve"> БЕЗ ОБЪЯВЛЕНИЯ ЦЕНЫ </w:t>
      </w: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 №___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D65C9E" w:rsidRPr="00E6151C" w:rsidTr="00853390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9457F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945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81039" w:rsidRPr="00E81039" w:rsidRDefault="00853390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П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ринял решение об участии в продаже имущества 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без объявления цены 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по Лоту №___: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="005D5D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__________________________________________________________________________________________________</w:t>
      </w:r>
    </w:p>
    <w:p w:rsidR="00D65C9E" w:rsidRPr="00E81039" w:rsidRDefault="00E81039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</w:t>
      </w:r>
      <w:r w:rsidR="00D65C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обязуется: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торгов, проводимых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2" w:history="1">
        <w:r w:rsidRPr="008533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www.rts-tender.ru</w:t>
        </w:r>
      </w:hyperlink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на официальном сайте в сети «Интернет» </w:t>
      </w:r>
      <w:r w:rsidR="00E810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официальном сайте Российской Федерации в сети «Интернет» для размещения информации о проведении торгов (www.torgi.gov.ru), а также порядок проведения торгов, установленный Положением об организации и проведении продажи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853390" w:rsidRPr="00853390" w:rsidRDefault="00853390" w:rsidP="00853390">
      <w:pPr>
        <w:tabs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Претендент извещён о том, что он не вправе отозвать зарегистрированную заявку. Претендент вправе подать   только   одно предложение по цене имущества, которое не может быть изменено.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юридическим лицом, местом </w:t>
      </w: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его устраивает техническое состояние продаваемого имущества.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(представитель Претендента,  действующий по доверенности): ______________________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 xml:space="preserve">28.03.2022 № 46 «Об утверждении прогнозного плана (программы) приватизации </w:t>
      </w:r>
      <w:r w:rsidRPr="00B0761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C9625F" w:rsidRDefault="00C9625F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C9625F" w:rsidRPr="00C9625F" w:rsidRDefault="00C9625F" w:rsidP="00C962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D65C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="00D65C9E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D65C9E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C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реквизитам: </w:t>
      </w:r>
      <w:r w:rsidRPr="00C9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  КБК  111 114 13050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  <w:proofErr w:type="gramEnd"/>
    </w:p>
    <w:p w:rsidR="00C9625F" w:rsidRDefault="00C9625F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9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обязательства, указанного в пункте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1140" w:rsidRPr="00D51140" w:rsidTr="00210ED8">
        <w:tc>
          <w:tcPr>
            <w:tcW w:w="4785" w:type="dxa"/>
          </w:tcPr>
          <w:p w:rsidR="00D51140" w:rsidRPr="00D51140" w:rsidRDefault="00D51140" w:rsidP="00D5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140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D51140" w:rsidRPr="00D51140" w:rsidRDefault="00D51140" w:rsidP="00D5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40">
              <w:rPr>
                <w:rFonts w:ascii="Times New Roman" w:hAnsi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Адрес: 662120, Красноярский край,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с.Большой Улуй, </w:t>
            </w:r>
            <w:proofErr w:type="spellStart"/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</w:t>
            </w:r>
            <w:proofErr w:type="gramStart"/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.Р</w:t>
            </w:r>
            <w:proofErr w:type="gramEnd"/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еволюции</w:t>
            </w:r>
            <w:proofErr w:type="spellEnd"/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д.11</w:t>
            </w:r>
          </w:p>
          <w:p w:rsidR="00D51140" w:rsidRPr="00D51140" w:rsidRDefault="00D51140" w:rsidP="00D51140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ИНН:2409000638; КПП: 240901001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КРАСНОЯРСК БАНКА </w:t>
            </w: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//УФК по Красноярскому краю, </w:t>
            </w:r>
            <w:proofErr w:type="spellStart"/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010407105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счет 40102810245370000011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счет: 03231643046110001900</w:t>
            </w:r>
          </w:p>
          <w:p w:rsidR="00D51140" w:rsidRPr="00D51140" w:rsidRDefault="00D51140" w:rsidP="00D51140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ОГРН: 1022401158559</w:t>
            </w:r>
          </w:p>
          <w:p w:rsidR="00D51140" w:rsidRPr="00D51140" w:rsidRDefault="00D51140" w:rsidP="00D51140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Тел/факс: 8(39159) 2-14-74</w:t>
            </w:r>
          </w:p>
          <w:p w:rsidR="00D51140" w:rsidRPr="00D51140" w:rsidRDefault="00D51140" w:rsidP="00D51140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Тел. 8(39159) 2-15-03</w:t>
            </w: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ПОКУПАТЕЛЬ</w:t>
            </w: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1140" w:rsidRPr="00D51140" w:rsidRDefault="00D51140" w:rsidP="00D5114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1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87" w:rsidRDefault="002C3087" w:rsidP="008C02D5">
      <w:pPr>
        <w:spacing w:after="0" w:line="240" w:lineRule="auto"/>
      </w:pPr>
      <w:r>
        <w:separator/>
      </w:r>
    </w:p>
  </w:endnote>
  <w:endnote w:type="continuationSeparator" w:id="0">
    <w:p w:rsidR="002C3087" w:rsidRDefault="002C3087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87" w:rsidRDefault="002C3087" w:rsidP="008C02D5">
      <w:pPr>
        <w:spacing w:after="0" w:line="240" w:lineRule="auto"/>
      </w:pPr>
      <w:r>
        <w:separator/>
      </w:r>
    </w:p>
  </w:footnote>
  <w:footnote w:type="continuationSeparator" w:id="0">
    <w:p w:rsidR="002C3087" w:rsidRDefault="002C3087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CA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464A7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40EFC"/>
    <w:rsid w:val="00150B56"/>
    <w:rsid w:val="001624E7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1F653E"/>
    <w:rsid w:val="00212AB2"/>
    <w:rsid w:val="0023110E"/>
    <w:rsid w:val="00247F23"/>
    <w:rsid w:val="00255982"/>
    <w:rsid w:val="00280216"/>
    <w:rsid w:val="002808AB"/>
    <w:rsid w:val="002811F7"/>
    <w:rsid w:val="0029236C"/>
    <w:rsid w:val="0029409A"/>
    <w:rsid w:val="002B2412"/>
    <w:rsid w:val="002C21AB"/>
    <w:rsid w:val="002C3087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C75BF"/>
    <w:rsid w:val="003D1DE2"/>
    <w:rsid w:val="003D236C"/>
    <w:rsid w:val="003D2EA9"/>
    <w:rsid w:val="003D43B6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4D7822"/>
    <w:rsid w:val="00503565"/>
    <w:rsid w:val="005059F0"/>
    <w:rsid w:val="00514F08"/>
    <w:rsid w:val="0051516E"/>
    <w:rsid w:val="00517B62"/>
    <w:rsid w:val="005218CC"/>
    <w:rsid w:val="00525B6A"/>
    <w:rsid w:val="00545E26"/>
    <w:rsid w:val="00553170"/>
    <w:rsid w:val="0055471E"/>
    <w:rsid w:val="00563D11"/>
    <w:rsid w:val="005772EC"/>
    <w:rsid w:val="00582DB4"/>
    <w:rsid w:val="00582EE9"/>
    <w:rsid w:val="00585A61"/>
    <w:rsid w:val="005A60F6"/>
    <w:rsid w:val="005A78C0"/>
    <w:rsid w:val="005B7871"/>
    <w:rsid w:val="005D2F2E"/>
    <w:rsid w:val="005D4792"/>
    <w:rsid w:val="005D5D9E"/>
    <w:rsid w:val="005E3473"/>
    <w:rsid w:val="005E4150"/>
    <w:rsid w:val="005F3E69"/>
    <w:rsid w:val="005F659D"/>
    <w:rsid w:val="00601B1B"/>
    <w:rsid w:val="006178E7"/>
    <w:rsid w:val="00626590"/>
    <w:rsid w:val="0063056C"/>
    <w:rsid w:val="00631E6A"/>
    <w:rsid w:val="00644E6F"/>
    <w:rsid w:val="00645594"/>
    <w:rsid w:val="00675D43"/>
    <w:rsid w:val="006B2AD4"/>
    <w:rsid w:val="006B67B6"/>
    <w:rsid w:val="006D4245"/>
    <w:rsid w:val="006D7514"/>
    <w:rsid w:val="006E1B0C"/>
    <w:rsid w:val="006E3050"/>
    <w:rsid w:val="006E59C7"/>
    <w:rsid w:val="006E6CF8"/>
    <w:rsid w:val="006F08B0"/>
    <w:rsid w:val="006F5182"/>
    <w:rsid w:val="006F7074"/>
    <w:rsid w:val="00700BAF"/>
    <w:rsid w:val="00703A32"/>
    <w:rsid w:val="0071629B"/>
    <w:rsid w:val="00743C35"/>
    <w:rsid w:val="00756FFE"/>
    <w:rsid w:val="00760E0B"/>
    <w:rsid w:val="00780E09"/>
    <w:rsid w:val="00786F86"/>
    <w:rsid w:val="007C2F70"/>
    <w:rsid w:val="007D24DC"/>
    <w:rsid w:val="007D496B"/>
    <w:rsid w:val="007D73F2"/>
    <w:rsid w:val="007F5B15"/>
    <w:rsid w:val="008126DC"/>
    <w:rsid w:val="008229B4"/>
    <w:rsid w:val="00823808"/>
    <w:rsid w:val="008436F1"/>
    <w:rsid w:val="00853390"/>
    <w:rsid w:val="00854546"/>
    <w:rsid w:val="0085643A"/>
    <w:rsid w:val="0086593F"/>
    <w:rsid w:val="00896E74"/>
    <w:rsid w:val="008B4E4D"/>
    <w:rsid w:val="008C02D5"/>
    <w:rsid w:val="008C7B3B"/>
    <w:rsid w:val="008D475E"/>
    <w:rsid w:val="008E00FB"/>
    <w:rsid w:val="008E60BA"/>
    <w:rsid w:val="008F5277"/>
    <w:rsid w:val="0090208E"/>
    <w:rsid w:val="00902729"/>
    <w:rsid w:val="009052B3"/>
    <w:rsid w:val="009315C6"/>
    <w:rsid w:val="00931810"/>
    <w:rsid w:val="0093782B"/>
    <w:rsid w:val="009449D1"/>
    <w:rsid w:val="009457F1"/>
    <w:rsid w:val="00975E35"/>
    <w:rsid w:val="00976232"/>
    <w:rsid w:val="009818FB"/>
    <w:rsid w:val="009B3E3A"/>
    <w:rsid w:val="009E73F0"/>
    <w:rsid w:val="009F0BE9"/>
    <w:rsid w:val="009F66DF"/>
    <w:rsid w:val="009F676B"/>
    <w:rsid w:val="00A24F18"/>
    <w:rsid w:val="00A2712C"/>
    <w:rsid w:val="00A44037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58C"/>
    <w:rsid w:val="00B71E5E"/>
    <w:rsid w:val="00B9112C"/>
    <w:rsid w:val="00BC48EE"/>
    <w:rsid w:val="00BF0ECA"/>
    <w:rsid w:val="00C121F2"/>
    <w:rsid w:val="00C137E8"/>
    <w:rsid w:val="00C241DC"/>
    <w:rsid w:val="00C30C37"/>
    <w:rsid w:val="00C32A6E"/>
    <w:rsid w:val="00C3638D"/>
    <w:rsid w:val="00C77655"/>
    <w:rsid w:val="00C91F96"/>
    <w:rsid w:val="00C9625F"/>
    <w:rsid w:val="00CA7A75"/>
    <w:rsid w:val="00CB7CDB"/>
    <w:rsid w:val="00CC3935"/>
    <w:rsid w:val="00CC5924"/>
    <w:rsid w:val="00CC6E97"/>
    <w:rsid w:val="00CE04DB"/>
    <w:rsid w:val="00CE514F"/>
    <w:rsid w:val="00CF2C0B"/>
    <w:rsid w:val="00D12B76"/>
    <w:rsid w:val="00D1457E"/>
    <w:rsid w:val="00D23443"/>
    <w:rsid w:val="00D23F61"/>
    <w:rsid w:val="00D252F2"/>
    <w:rsid w:val="00D25D9C"/>
    <w:rsid w:val="00D27A82"/>
    <w:rsid w:val="00D3190A"/>
    <w:rsid w:val="00D51140"/>
    <w:rsid w:val="00D65C9E"/>
    <w:rsid w:val="00D74182"/>
    <w:rsid w:val="00D770B9"/>
    <w:rsid w:val="00DA3997"/>
    <w:rsid w:val="00DA61C6"/>
    <w:rsid w:val="00DE6BBB"/>
    <w:rsid w:val="00DF0EB5"/>
    <w:rsid w:val="00DF500C"/>
    <w:rsid w:val="00DF571D"/>
    <w:rsid w:val="00E158DE"/>
    <w:rsid w:val="00E21A39"/>
    <w:rsid w:val="00E4335B"/>
    <w:rsid w:val="00E434ED"/>
    <w:rsid w:val="00E4602D"/>
    <w:rsid w:val="00E61844"/>
    <w:rsid w:val="00E65E61"/>
    <w:rsid w:val="00E67C8F"/>
    <w:rsid w:val="00E81039"/>
    <w:rsid w:val="00EA6428"/>
    <w:rsid w:val="00ED1352"/>
    <w:rsid w:val="00F02BF4"/>
    <w:rsid w:val="00F07690"/>
    <w:rsid w:val="00F07927"/>
    <w:rsid w:val="00F11781"/>
    <w:rsid w:val="00F2067F"/>
    <w:rsid w:val="00F62D49"/>
    <w:rsid w:val="00F74762"/>
    <w:rsid w:val="00F83D0E"/>
    <w:rsid w:val="00F91614"/>
    <w:rsid w:val="00FA469F"/>
    <w:rsid w:val="00FA7039"/>
    <w:rsid w:val="00FB74D1"/>
    <w:rsid w:val="00FC4826"/>
    <w:rsid w:val="00FD515B"/>
    <w:rsid w:val="00FE1E94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D51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D511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lui@kras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ui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2023-10-24T07:34:00Z</cp:lastPrinted>
  <dcterms:created xsi:type="dcterms:W3CDTF">2020-02-11T04:26:00Z</dcterms:created>
  <dcterms:modified xsi:type="dcterms:W3CDTF">2023-10-24T08:19:00Z</dcterms:modified>
</cp:coreProperties>
</file>